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4D" w:rsidRPr="00943E94" w:rsidRDefault="00D3704D" w:rsidP="004C4573">
      <w:pPr>
        <w:spacing w:beforeLines="50" w:afterLines="50" w:line="400" w:lineRule="exact"/>
        <w:rPr>
          <w:rFonts w:ascii="TimesNewRoman" w:hAnsi="TimesNewRoman" w:hint="eastAsia"/>
          <w:sz w:val="24"/>
        </w:rPr>
      </w:pPr>
      <w:r w:rsidRPr="00943E94">
        <w:rPr>
          <w:rFonts w:ascii="TimesNewRoman" w:hAnsi="宋体" w:hint="eastAsia"/>
          <w:sz w:val="24"/>
        </w:rPr>
        <w:t>证券代码：</w:t>
      </w:r>
      <w:r w:rsidRPr="00943E94">
        <w:rPr>
          <w:rFonts w:ascii="TimesNewRoman" w:hAnsi="TimesNewRoman" w:hint="eastAsia"/>
          <w:sz w:val="24"/>
        </w:rPr>
        <w:t xml:space="preserve">300232                                </w:t>
      </w:r>
      <w:r w:rsidRPr="00943E94">
        <w:rPr>
          <w:rFonts w:ascii="TimesNewRoman" w:hAnsi="宋体" w:hint="eastAsia"/>
          <w:sz w:val="24"/>
        </w:rPr>
        <w:t>证券简称：洲明科技</w:t>
      </w:r>
      <w:r w:rsidRPr="00943E94">
        <w:rPr>
          <w:rFonts w:ascii="TimesNewRoman" w:hAnsi="TimesNewRoman" w:hint="eastAsia"/>
          <w:sz w:val="24"/>
        </w:rPr>
        <w:t xml:space="preserve"> </w:t>
      </w:r>
    </w:p>
    <w:p w:rsidR="00D3704D" w:rsidRPr="00943E94" w:rsidRDefault="00E83A63" w:rsidP="004C4573">
      <w:pPr>
        <w:spacing w:beforeLines="100" w:afterLines="100" w:line="400" w:lineRule="exact"/>
        <w:jc w:val="center"/>
        <w:rPr>
          <w:rFonts w:ascii="TimesNewRoman" w:hAnsi="TimesNewRoman" w:hint="eastAsia"/>
          <w:b/>
          <w:sz w:val="32"/>
          <w:szCs w:val="32"/>
        </w:rPr>
      </w:pPr>
      <w:r>
        <w:rPr>
          <w:rFonts w:ascii="TimesNewRoman" w:hAnsi="宋体" w:hint="eastAsia"/>
          <w:b/>
          <w:sz w:val="32"/>
          <w:szCs w:val="32"/>
        </w:rPr>
        <w:t>深圳市洲明科技股份有限公司投资者关系活动记录表（六</w:t>
      </w:r>
      <w:r w:rsidR="00D3704D" w:rsidRPr="00943E94">
        <w:rPr>
          <w:rFonts w:ascii="TimesNewRoman" w:hAnsi="宋体" w:hint="eastAsia"/>
          <w:b/>
          <w:sz w:val="32"/>
          <w:szCs w:val="32"/>
        </w:rPr>
        <w:t>）</w:t>
      </w:r>
    </w:p>
    <w:p w:rsidR="00D3704D" w:rsidRPr="00943E94" w:rsidRDefault="00D3704D" w:rsidP="00D3704D">
      <w:pPr>
        <w:spacing w:line="400" w:lineRule="exact"/>
        <w:rPr>
          <w:rFonts w:ascii="TimesNewRoman" w:hAnsi="TimesNewRoman" w:hint="eastAsia"/>
          <w:sz w:val="24"/>
        </w:rPr>
      </w:pPr>
      <w:r w:rsidRPr="00943E94">
        <w:rPr>
          <w:rFonts w:ascii="TimesNewRoman" w:hAnsi="TimesNewRoman" w:hint="eastAsia"/>
          <w:sz w:val="24"/>
        </w:rPr>
        <w:t xml:space="preserve">                                                      </w:t>
      </w:r>
      <w:r w:rsidRPr="00943E94">
        <w:rPr>
          <w:rFonts w:ascii="TimesNewRoman" w:hAnsi="宋体" w:hint="eastAsia"/>
          <w:sz w:val="24"/>
        </w:rPr>
        <w:t>编号：</w:t>
      </w:r>
      <w:r w:rsidR="006F3FA6">
        <w:rPr>
          <w:rFonts w:ascii="TimesNewRoman" w:hAnsi="TimesNewRoman" w:hint="eastAsia"/>
          <w:sz w:val="24"/>
        </w:rPr>
        <w:t>2017-00</w:t>
      </w:r>
      <w:r w:rsidR="00B37BD0">
        <w:rPr>
          <w:rFonts w:ascii="TimesNewRoman" w:hAnsi="TimesNewRoman" w:hint="eastAsia"/>
          <w:sz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614"/>
      </w:tblGrid>
      <w:tr w:rsidR="00D3704D" w:rsidRPr="00943E94" w:rsidTr="008004CB">
        <w:trPr>
          <w:trHeight w:val="2555"/>
        </w:trPr>
        <w:tc>
          <w:tcPr>
            <w:tcW w:w="1908" w:type="dxa"/>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投资者关系活动类别</w:t>
            </w:r>
          </w:p>
          <w:p w:rsidR="00D3704D" w:rsidRPr="00943E94" w:rsidRDefault="00D3704D" w:rsidP="008004CB">
            <w:pPr>
              <w:spacing w:line="480" w:lineRule="atLeast"/>
              <w:rPr>
                <w:rFonts w:ascii="TimesNewRoman" w:hAnsi="TimesNewRoman" w:hint="eastAsia"/>
                <w:b/>
                <w:sz w:val="24"/>
              </w:rPr>
            </w:pPr>
          </w:p>
        </w:tc>
        <w:tc>
          <w:tcPr>
            <w:tcW w:w="6614" w:type="dxa"/>
          </w:tcPr>
          <w:p w:rsidR="00D3704D" w:rsidRPr="00943E94" w:rsidRDefault="00337761" w:rsidP="008004CB">
            <w:pPr>
              <w:spacing w:line="480" w:lineRule="atLeast"/>
              <w:rPr>
                <w:rFonts w:ascii="TimesNewRoman" w:hAnsi="TimesNewRoman" w:hint="eastAsia"/>
                <w:sz w:val="24"/>
              </w:rPr>
            </w:pPr>
            <w:r w:rsidRPr="00943E94">
              <w:rPr>
                <w:rFonts w:ascii="TimesNewRoman" w:hAnsi="TimesNewRoman" w:hint="eastAsia"/>
                <w:bCs/>
                <w:iCs/>
                <w:color w:val="000000"/>
                <w:sz w:val="24"/>
              </w:rPr>
              <w:t>■</w:t>
            </w:r>
            <w:r w:rsidR="00D3704D" w:rsidRPr="00943E94">
              <w:rPr>
                <w:rFonts w:ascii="TimesNewRoman" w:hAnsi="宋体" w:hint="eastAsia"/>
                <w:sz w:val="24"/>
              </w:rPr>
              <w:t>特定对象调研</w:t>
            </w:r>
            <w:r>
              <w:rPr>
                <w:rFonts w:ascii="TimesNewRoman" w:hAnsi="TimesNewRoman" w:hint="eastAsia"/>
                <w:sz w:val="24"/>
              </w:rPr>
              <w:t xml:space="preserve">      </w:t>
            </w:r>
            <w:r w:rsidR="006F3FA6">
              <w:rPr>
                <w:rFonts w:ascii="TimesNewRoman" w:hAnsi="TimesNewRoman" w:hint="eastAsia"/>
                <w:sz w:val="24"/>
              </w:rPr>
              <w:t xml:space="preserve">  </w:t>
            </w:r>
            <w:r w:rsidRPr="00943E94">
              <w:rPr>
                <w:rFonts w:ascii="TimesNewRoman" w:hAnsi="TimesNewRoman" w:hint="eastAsia"/>
                <w:sz w:val="24"/>
              </w:rPr>
              <w:t>□</w:t>
            </w:r>
            <w:r w:rsidR="00D3704D" w:rsidRPr="00943E94">
              <w:rPr>
                <w:rFonts w:ascii="TimesNewRoman" w:hAnsi="宋体" w:hint="eastAsia"/>
                <w:sz w:val="24"/>
              </w:rPr>
              <w:t>分析师会议</w:t>
            </w:r>
          </w:p>
          <w:p w:rsidR="00D3704D" w:rsidRPr="00943E94" w:rsidRDefault="00D3704D" w:rsidP="008004CB">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媒体采访</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利润说明会</w:t>
            </w:r>
          </w:p>
          <w:p w:rsidR="00D3704D" w:rsidRPr="00943E94" w:rsidRDefault="00D3704D" w:rsidP="008004CB">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新闻发布会</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路演活动</w:t>
            </w:r>
          </w:p>
          <w:p w:rsidR="00D3704D" w:rsidRPr="00943E94" w:rsidRDefault="00B37BD0" w:rsidP="008004CB">
            <w:pPr>
              <w:tabs>
                <w:tab w:val="left" w:pos="3045"/>
                <w:tab w:val="center" w:pos="3199"/>
              </w:tabs>
              <w:spacing w:line="480" w:lineRule="atLeast"/>
              <w:rPr>
                <w:rFonts w:ascii="TimesNewRoman" w:hAnsi="TimesNewRoman" w:hint="eastAsia"/>
                <w:sz w:val="24"/>
              </w:rPr>
            </w:pPr>
            <w:r w:rsidRPr="00943E94">
              <w:rPr>
                <w:rFonts w:ascii="TimesNewRoman" w:hAnsi="TimesNewRoman" w:hint="eastAsia"/>
                <w:bCs/>
                <w:iCs/>
                <w:color w:val="000000"/>
                <w:sz w:val="24"/>
              </w:rPr>
              <w:t>■</w:t>
            </w:r>
            <w:r w:rsidR="00D3704D" w:rsidRPr="00943E94">
              <w:rPr>
                <w:rFonts w:ascii="TimesNewRoman" w:hAnsi="宋体" w:hint="eastAsia"/>
                <w:sz w:val="24"/>
              </w:rPr>
              <w:t>现场参观</w:t>
            </w:r>
            <w:r w:rsidR="00D3704D" w:rsidRPr="00943E94">
              <w:rPr>
                <w:rFonts w:ascii="TimesNewRoman" w:hAnsi="TimesNewRoman"/>
                <w:sz w:val="24"/>
              </w:rPr>
              <w:tab/>
            </w:r>
          </w:p>
          <w:p w:rsidR="00D3704D" w:rsidRPr="00943E94" w:rsidRDefault="00D3704D" w:rsidP="008004CB">
            <w:pPr>
              <w:tabs>
                <w:tab w:val="center" w:pos="3199"/>
              </w:tabs>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其他</w:t>
            </w:r>
            <w:r w:rsidRPr="00943E94">
              <w:rPr>
                <w:rFonts w:ascii="TimesNewRoman" w:hAnsi="TimesNewRoman" w:hint="eastAsia"/>
                <w:sz w:val="24"/>
              </w:rPr>
              <w:t xml:space="preserve">  </w:t>
            </w:r>
          </w:p>
        </w:tc>
      </w:tr>
      <w:tr w:rsidR="00D3704D" w:rsidRPr="00943E94" w:rsidTr="008004CB">
        <w:trPr>
          <w:trHeight w:val="957"/>
        </w:trPr>
        <w:tc>
          <w:tcPr>
            <w:tcW w:w="1908" w:type="dxa"/>
          </w:tcPr>
          <w:p w:rsidR="00D3704D" w:rsidRPr="00943E94" w:rsidRDefault="00D3704D" w:rsidP="004401A3">
            <w:pPr>
              <w:spacing w:line="480" w:lineRule="atLeast"/>
              <w:rPr>
                <w:rFonts w:ascii="TimesNewRoman" w:hAnsi="TimesNewRoman" w:hint="eastAsia"/>
                <w:b/>
                <w:sz w:val="24"/>
              </w:rPr>
            </w:pPr>
            <w:r w:rsidRPr="00943E94">
              <w:rPr>
                <w:rFonts w:ascii="TimesNewRoman" w:hAnsi="宋体" w:hint="eastAsia"/>
                <w:b/>
                <w:sz w:val="24"/>
              </w:rPr>
              <w:t>参与单位名称</w:t>
            </w:r>
          </w:p>
        </w:tc>
        <w:tc>
          <w:tcPr>
            <w:tcW w:w="6614" w:type="dxa"/>
          </w:tcPr>
          <w:p w:rsidR="00246516" w:rsidRPr="00246516" w:rsidRDefault="004401A3" w:rsidP="00246516">
            <w:pPr>
              <w:spacing w:line="480" w:lineRule="atLeast"/>
              <w:jc w:val="left"/>
              <w:rPr>
                <w:rFonts w:ascii="TimesNewRoman" w:eastAsiaTheme="minorEastAsia" w:hAnsi="TimesNewRoman" w:cs="Arial" w:hint="eastAsia"/>
                <w:color w:val="000000"/>
                <w:kern w:val="0"/>
                <w:sz w:val="24"/>
                <w:szCs w:val="24"/>
              </w:rPr>
            </w:pPr>
            <w:r w:rsidRPr="004401A3">
              <w:rPr>
                <w:rFonts w:ascii="TimesNewRoman" w:eastAsiaTheme="minorEastAsia" w:hAnsi="TimesNewRoman" w:cs="Arial" w:hint="eastAsia"/>
                <w:color w:val="000000"/>
                <w:kern w:val="0"/>
                <w:sz w:val="24"/>
                <w:szCs w:val="24"/>
              </w:rPr>
              <w:t>从容投资、淡马锡富敦、东方基金、东方证券、东吴基金、富鼎投资、观复投资、广发基金、国寿养老、国泰君安、国投瑞银、宏鼎财富、泓贯资产、华安基金、华宝基金、华创证券、华商基金、华泰柏瑞基金、汇丰晋信基金、汇利资产、汇升投资、嘉实基金、均鼎资产、南方基金、鹏华基金、浦银安盛基金、普尔投资、前海新富、清水源投资、申九资产、太平基金、太平洋证券、西南证券、鑫巢资本、信达证券、圆信永丰基金、长安基金、长江证券、中国人寿、中加基金、中金公司、中信建投证券</w:t>
            </w:r>
            <w:r w:rsidR="00F91AFD">
              <w:rPr>
                <w:rFonts w:ascii="TimesNewRoman" w:eastAsiaTheme="minorEastAsia" w:hAnsi="TimesNewRoman" w:cs="Arial" w:hint="eastAsia"/>
                <w:color w:val="000000"/>
                <w:kern w:val="0"/>
                <w:sz w:val="24"/>
                <w:szCs w:val="24"/>
              </w:rPr>
              <w:t>等</w:t>
            </w:r>
          </w:p>
        </w:tc>
      </w:tr>
      <w:tr w:rsidR="00D3704D" w:rsidRPr="00943E94" w:rsidTr="008004CB">
        <w:tc>
          <w:tcPr>
            <w:tcW w:w="1908" w:type="dxa"/>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时间</w:t>
            </w:r>
          </w:p>
        </w:tc>
        <w:tc>
          <w:tcPr>
            <w:tcW w:w="6614" w:type="dxa"/>
          </w:tcPr>
          <w:p w:rsidR="00D3704D" w:rsidRPr="00943E94" w:rsidRDefault="00D3704D" w:rsidP="004401A3">
            <w:pPr>
              <w:spacing w:line="480" w:lineRule="atLeast"/>
              <w:rPr>
                <w:rFonts w:ascii="TimesNewRoman" w:hAnsi="TimesNewRoman" w:hint="eastAsia"/>
                <w:sz w:val="24"/>
              </w:rPr>
            </w:pPr>
            <w:r w:rsidRPr="00943E94">
              <w:rPr>
                <w:rFonts w:ascii="TimesNewRoman" w:hAnsi="TimesNewRoman"/>
                <w:sz w:val="24"/>
              </w:rPr>
              <w:t>201</w:t>
            </w:r>
            <w:r w:rsidRPr="00943E94">
              <w:rPr>
                <w:rFonts w:ascii="TimesNewRoman" w:hAnsi="TimesNewRoman" w:hint="eastAsia"/>
                <w:sz w:val="24"/>
              </w:rPr>
              <w:t>7</w:t>
            </w:r>
            <w:r w:rsidRPr="00943E94">
              <w:rPr>
                <w:rFonts w:ascii="TimesNewRoman" w:hAnsi="宋体"/>
                <w:sz w:val="24"/>
              </w:rPr>
              <w:t>年</w:t>
            </w:r>
            <w:r w:rsidR="00F019FE">
              <w:rPr>
                <w:rFonts w:ascii="TimesNewRoman" w:hAnsi="TimesNewRoman" w:hint="eastAsia"/>
                <w:sz w:val="24"/>
              </w:rPr>
              <w:t>1</w:t>
            </w:r>
            <w:r w:rsidR="004401A3">
              <w:rPr>
                <w:rFonts w:ascii="TimesNewRoman" w:hAnsi="TimesNewRoman" w:hint="eastAsia"/>
                <w:sz w:val="24"/>
              </w:rPr>
              <w:t>2</w:t>
            </w:r>
            <w:r w:rsidRPr="00943E94">
              <w:rPr>
                <w:rFonts w:ascii="TimesNewRoman" w:hAnsi="宋体"/>
                <w:sz w:val="24"/>
              </w:rPr>
              <w:t>月</w:t>
            </w:r>
            <w:r w:rsidR="004401A3">
              <w:rPr>
                <w:rFonts w:ascii="TimesNewRoman" w:hAnsi="TimesNewRoman" w:hint="eastAsia"/>
                <w:sz w:val="24"/>
              </w:rPr>
              <w:t>12</w:t>
            </w:r>
            <w:r w:rsidRPr="00943E94">
              <w:rPr>
                <w:rFonts w:ascii="TimesNewRoman" w:hAnsi="宋体"/>
                <w:sz w:val="24"/>
              </w:rPr>
              <w:t>日</w:t>
            </w:r>
            <w:r w:rsidRPr="00943E94">
              <w:rPr>
                <w:rFonts w:ascii="TimesNewRoman" w:hAnsi="TimesNewRoman" w:hint="eastAsia"/>
                <w:sz w:val="24"/>
              </w:rPr>
              <w:t xml:space="preserve"> 1</w:t>
            </w:r>
            <w:r w:rsidR="004401A3">
              <w:rPr>
                <w:rFonts w:ascii="TimesNewRoman" w:hAnsi="TimesNewRoman" w:hint="eastAsia"/>
                <w:sz w:val="24"/>
              </w:rPr>
              <w:t>3</w:t>
            </w:r>
            <w:r w:rsidRPr="00943E94">
              <w:rPr>
                <w:rFonts w:ascii="TimesNewRoman" w:hAnsi="宋体" w:hint="eastAsia"/>
                <w:sz w:val="24"/>
              </w:rPr>
              <w:t>：</w:t>
            </w:r>
            <w:r w:rsidR="004401A3">
              <w:rPr>
                <w:rFonts w:ascii="TimesNewRoman" w:hAnsi="TimesNewRoman" w:hint="eastAsia"/>
                <w:sz w:val="24"/>
              </w:rPr>
              <w:t>3</w:t>
            </w:r>
            <w:r w:rsidRPr="00943E94">
              <w:rPr>
                <w:rFonts w:ascii="TimesNewRoman" w:hAnsi="TimesNewRoman" w:hint="eastAsia"/>
                <w:sz w:val="24"/>
              </w:rPr>
              <w:t>0--1</w:t>
            </w:r>
            <w:r w:rsidR="004401A3">
              <w:rPr>
                <w:rFonts w:ascii="TimesNewRoman" w:hAnsi="TimesNewRoman" w:hint="eastAsia"/>
                <w:sz w:val="24"/>
              </w:rPr>
              <w:t>8</w:t>
            </w:r>
            <w:r w:rsidRPr="00943E94">
              <w:rPr>
                <w:rFonts w:ascii="TimesNewRoman" w:hAnsi="宋体" w:hint="eastAsia"/>
                <w:sz w:val="24"/>
              </w:rPr>
              <w:t>：</w:t>
            </w:r>
            <w:bookmarkStart w:id="0" w:name="_GoBack"/>
            <w:bookmarkEnd w:id="0"/>
            <w:r w:rsidR="00F019FE">
              <w:rPr>
                <w:rFonts w:ascii="TimesNewRoman" w:hAnsi="TimesNewRoman" w:hint="eastAsia"/>
                <w:sz w:val="24"/>
              </w:rPr>
              <w:t>0</w:t>
            </w:r>
            <w:r w:rsidRPr="00943E94">
              <w:rPr>
                <w:rFonts w:ascii="TimesNewRoman" w:hAnsi="TimesNewRoman" w:hint="eastAsia"/>
                <w:sz w:val="24"/>
              </w:rPr>
              <w:t>0</w:t>
            </w:r>
          </w:p>
        </w:tc>
      </w:tr>
      <w:tr w:rsidR="00D3704D" w:rsidRPr="00943E94" w:rsidTr="008004CB">
        <w:trPr>
          <w:trHeight w:val="380"/>
        </w:trPr>
        <w:tc>
          <w:tcPr>
            <w:tcW w:w="1908" w:type="dxa"/>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地点</w:t>
            </w:r>
          </w:p>
        </w:tc>
        <w:tc>
          <w:tcPr>
            <w:tcW w:w="6614" w:type="dxa"/>
          </w:tcPr>
          <w:p w:rsidR="00D3704D" w:rsidRPr="00943E94" w:rsidRDefault="004401A3" w:rsidP="008004CB">
            <w:pPr>
              <w:spacing w:line="480" w:lineRule="atLeast"/>
              <w:rPr>
                <w:rFonts w:ascii="TimesNewRoman" w:hAnsi="TimesNewRoman" w:hint="eastAsia"/>
                <w:sz w:val="24"/>
              </w:rPr>
            </w:pPr>
            <w:r w:rsidRPr="004401A3">
              <w:rPr>
                <w:rFonts w:ascii="TimesNewRoman" w:hAnsi="宋体" w:hint="eastAsia"/>
                <w:sz w:val="24"/>
              </w:rPr>
              <w:t>浙江省杭州市余杭区南公河路</w:t>
            </w:r>
            <w:r w:rsidRPr="004401A3">
              <w:rPr>
                <w:rFonts w:ascii="TimesNewRoman" w:hAnsi="宋体" w:hint="eastAsia"/>
                <w:sz w:val="24"/>
              </w:rPr>
              <w:t>1</w:t>
            </w:r>
            <w:r w:rsidRPr="004401A3">
              <w:rPr>
                <w:rFonts w:ascii="TimesNewRoman" w:hAnsi="宋体" w:hint="eastAsia"/>
                <w:sz w:val="24"/>
              </w:rPr>
              <w:t>号柏年产业园</w:t>
            </w:r>
          </w:p>
        </w:tc>
      </w:tr>
      <w:tr w:rsidR="00D3704D" w:rsidRPr="00943E94" w:rsidTr="008004CB">
        <w:tc>
          <w:tcPr>
            <w:tcW w:w="1908" w:type="dxa"/>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上市公司接待人员姓名</w:t>
            </w:r>
          </w:p>
        </w:tc>
        <w:tc>
          <w:tcPr>
            <w:tcW w:w="6614" w:type="dxa"/>
          </w:tcPr>
          <w:p w:rsidR="00F019FE" w:rsidRPr="00F019FE" w:rsidRDefault="004401A3" w:rsidP="008004CB">
            <w:pPr>
              <w:spacing w:line="480" w:lineRule="atLeast"/>
              <w:rPr>
                <w:rFonts w:ascii="TimesNewRoman" w:hAnsi="宋体"/>
                <w:sz w:val="24"/>
              </w:rPr>
            </w:pPr>
            <w:r w:rsidRPr="004401A3">
              <w:rPr>
                <w:rFonts w:ascii="TimesNewRoman" w:hAnsi="宋体" w:hint="eastAsia"/>
                <w:sz w:val="24"/>
              </w:rPr>
              <w:t>洲明科技董事长林洺锋先生、董事姚宇先生、董秘徐朋先生、投资部负责人陈健先生、景观照明事业部总经理刘俊先生、投资总监梅志敏先生、杭州柏年董事长潘昌杭先生、蔷薇科技总经理娄涛先生。</w:t>
            </w:r>
          </w:p>
        </w:tc>
      </w:tr>
      <w:tr w:rsidR="00D3704D" w:rsidRPr="00943E94" w:rsidTr="008004CB">
        <w:trPr>
          <w:trHeight w:val="699"/>
        </w:trPr>
        <w:tc>
          <w:tcPr>
            <w:tcW w:w="1908" w:type="dxa"/>
            <w:vAlign w:val="center"/>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投资者关系活动主要内容介绍</w:t>
            </w:r>
          </w:p>
        </w:tc>
        <w:tc>
          <w:tcPr>
            <w:tcW w:w="6614" w:type="dxa"/>
            <w:vAlign w:val="center"/>
          </w:tcPr>
          <w:p w:rsidR="004401A3" w:rsidRPr="004401A3" w:rsidRDefault="004401A3" w:rsidP="004401A3">
            <w:pPr>
              <w:spacing w:line="360" w:lineRule="auto"/>
              <w:ind w:firstLineChars="200" w:firstLine="482"/>
              <w:rPr>
                <w:rFonts w:asciiTheme="minorEastAsia" w:eastAsiaTheme="minorEastAsia" w:hAnsiTheme="minorEastAsia" w:cs="Arial"/>
                <w:b/>
                <w:color w:val="000000"/>
                <w:kern w:val="0"/>
                <w:sz w:val="24"/>
                <w:szCs w:val="24"/>
              </w:rPr>
            </w:pPr>
            <w:r>
              <w:rPr>
                <w:rFonts w:asciiTheme="minorEastAsia" w:eastAsiaTheme="minorEastAsia" w:hAnsiTheme="minorEastAsia" w:cs="Arial" w:hint="eastAsia"/>
                <w:b/>
                <w:color w:val="000000"/>
                <w:kern w:val="0"/>
                <w:sz w:val="24"/>
                <w:szCs w:val="24"/>
              </w:rPr>
              <w:t>（一）洲明科技董事长林洺锋先生简要介绍公司情况</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公司成立于2004年，于2011年成功于深圳创业板上市，是全国最早一批以半导体应用产品上市的企业（股票代码：300232），是首批国家高新技术企业。洲明科技专业制造LED</w:t>
            </w:r>
            <w:r w:rsidRPr="004401A3">
              <w:rPr>
                <w:rFonts w:asciiTheme="minorEastAsia" w:eastAsiaTheme="minorEastAsia" w:hAnsiTheme="minorEastAsia" w:cs="Arial" w:hint="eastAsia"/>
                <w:color w:val="000000"/>
                <w:kern w:val="0"/>
                <w:sz w:val="24"/>
                <w:szCs w:val="24"/>
              </w:rPr>
              <w:lastRenderedPageBreak/>
              <w:t>高清节能全彩显示屏和LED节能照明，为国内外的专业渠道客户和终端客户提供高质量、高性能的LED应用产品和解决方案。显示屏业绩连续3年位居全球前三，舞台创意显示屏行业第一。</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公司现拥有以福永总部为基点，坪山、大亚湾两大生产基地为支撑的“铁三角”架构，并在两大制造中心配备一流的研发、生产和实验设备，现代化、规模化、标准化程度领先业界。洲明科技依托“ 产业+互联网+金融”的战略定位，引进先进的生产设备，结合最新的应用技术，建设智慧工厂，实现智慧生产，打造全球最大的LED显示制造基地，在创新及效率上，做到全球领先，从工业3.0升级到工业4.0，制造水平与欧美国家接轨。</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公司自2011年上市至今，保持稳健的增长速度，</w:t>
            </w:r>
            <w:r w:rsidR="005341CB">
              <w:rPr>
                <w:rFonts w:asciiTheme="minorEastAsia" w:eastAsiaTheme="minorEastAsia" w:hAnsiTheme="minorEastAsia" w:cs="Arial" w:hint="eastAsia"/>
                <w:color w:val="000000"/>
                <w:kern w:val="0"/>
                <w:sz w:val="24"/>
                <w:szCs w:val="24"/>
              </w:rPr>
              <w:t>营业</w:t>
            </w:r>
            <w:r w:rsidRPr="004401A3">
              <w:rPr>
                <w:rFonts w:asciiTheme="minorEastAsia" w:eastAsiaTheme="minorEastAsia" w:hAnsiTheme="minorEastAsia" w:cs="Arial" w:hint="eastAsia"/>
                <w:color w:val="000000"/>
                <w:kern w:val="0"/>
                <w:sz w:val="24"/>
                <w:szCs w:val="24"/>
              </w:rPr>
              <w:t>收入年复合增长率40%，</w:t>
            </w:r>
            <w:r w:rsidR="005341CB">
              <w:rPr>
                <w:rFonts w:asciiTheme="minorEastAsia" w:eastAsiaTheme="minorEastAsia" w:hAnsiTheme="minorEastAsia" w:cs="Arial" w:hint="eastAsia"/>
                <w:color w:val="000000"/>
                <w:kern w:val="0"/>
                <w:sz w:val="24"/>
                <w:szCs w:val="24"/>
              </w:rPr>
              <w:t>净</w:t>
            </w:r>
            <w:r w:rsidRPr="004401A3">
              <w:rPr>
                <w:rFonts w:asciiTheme="minorEastAsia" w:eastAsiaTheme="minorEastAsia" w:hAnsiTheme="minorEastAsia" w:cs="Arial" w:hint="eastAsia"/>
                <w:color w:val="000000"/>
                <w:kern w:val="0"/>
                <w:sz w:val="24"/>
                <w:szCs w:val="24"/>
              </w:rPr>
              <w:t>利润年复合增长率超过45%。洲明</w:t>
            </w:r>
            <w:r w:rsidR="004C4573">
              <w:rPr>
                <w:rFonts w:asciiTheme="minorEastAsia" w:eastAsiaTheme="minorEastAsia" w:hAnsiTheme="minorEastAsia" w:cs="Arial" w:hint="eastAsia"/>
                <w:color w:val="000000"/>
                <w:kern w:val="0"/>
                <w:sz w:val="24"/>
                <w:szCs w:val="24"/>
              </w:rPr>
              <w:t>科技</w:t>
            </w:r>
            <w:r w:rsidRPr="004401A3">
              <w:rPr>
                <w:rFonts w:asciiTheme="minorEastAsia" w:eastAsiaTheme="minorEastAsia" w:hAnsiTheme="minorEastAsia" w:cs="Arial" w:hint="eastAsia"/>
                <w:color w:val="000000"/>
                <w:kern w:val="0"/>
                <w:sz w:val="24"/>
                <w:szCs w:val="24"/>
              </w:rPr>
              <w:t>将围绕“产业+互联网+金融”的战略定位，坚定产业报国志向，坚守“工匠精神”，聚焦LED产品、服务及集成解决方案，在LED应用领域做到世界领先品牌，为行业发展贡献力量、为中国智造在世界舞台上增光彩！</w:t>
            </w:r>
          </w:p>
          <w:p w:rsidR="004401A3" w:rsidRPr="004401A3" w:rsidRDefault="004401A3" w:rsidP="004401A3">
            <w:pPr>
              <w:spacing w:line="360" w:lineRule="auto"/>
              <w:ind w:firstLineChars="200" w:firstLine="482"/>
              <w:rPr>
                <w:rFonts w:asciiTheme="minorEastAsia" w:eastAsiaTheme="minorEastAsia" w:hAnsiTheme="minorEastAsia" w:cs="Arial"/>
                <w:b/>
                <w:color w:val="000000"/>
                <w:kern w:val="0"/>
                <w:sz w:val="24"/>
                <w:szCs w:val="24"/>
              </w:rPr>
            </w:pPr>
            <w:r>
              <w:rPr>
                <w:rFonts w:asciiTheme="minorEastAsia" w:eastAsiaTheme="minorEastAsia" w:hAnsiTheme="minorEastAsia" w:cs="Arial" w:hint="eastAsia"/>
                <w:b/>
                <w:color w:val="000000"/>
                <w:kern w:val="0"/>
                <w:sz w:val="24"/>
                <w:szCs w:val="24"/>
              </w:rPr>
              <w:t>（二）蔷薇科技总经理娄涛先生简要介绍蔷薇科技业务概况</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深圳市蔷薇科技有限公司创立于2009年，</w:t>
            </w:r>
            <w:r w:rsidR="002633B7">
              <w:rPr>
                <w:rFonts w:asciiTheme="minorEastAsia" w:eastAsiaTheme="minorEastAsia" w:hAnsiTheme="minorEastAsia" w:cs="Arial" w:hint="eastAsia"/>
                <w:color w:val="000000"/>
                <w:kern w:val="0"/>
                <w:sz w:val="24"/>
                <w:szCs w:val="24"/>
              </w:rPr>
              <w:t>是</w:t>
            </w:r>
            <w:r w:rsidR="002633B7" w:rsidRPr="002633B7">
              <w:rPr>
                <w:rFonts w:asciiTheme="minorEastAsia" w:eastAsiaTheme="minorEastAsia" w:hAnsiTheme="minorEastAsia" w:cs="Arial" w:hint="eastAsia"/>
                <w:color w:val="000000"/>
                <w:kern w:val="0"/>
                <w:sz w:val="24"/>
                <w:szCs w:val="24"/>
              </w:rPr>
              <w:t>行业</w:t>
            </w:r>
            <w:r w:rsidR="002633B7">
              <w:rPr>
                <w:rFonts w:asciiTheme="minorEastAsia" w:eastAsiaTheme="minorEastAsia" w:hAnsiTheme="minorEastAsia" w:cs="Arial" w:hint="eastAsia"/>
                <w:color w:val="000000"/>
                <w:kern w:val="0"/>
                <w:sz w:val="24"/>
                <w:szCs w:val="24"/>
              </w:rPr>
              <w:t>内</w:t>
            </w:r>
            <w:r w:rsidR="002633B7" w:rsidRPr="002633B7">
              <w:rPr>
                <w:rFonts w:asciiTheme="minorEastAsia" w:eastAsiaTheme="minorEastAsia" w:hAnsiTheme="minorEastAsia" w:cs="Arial" w:hint="eastAsia"/>
                <w:color w:val="000000"/>
                <w:kern w:val="0"/>
                <w:sz w:val="24"/>
                <w:szCs w:val="24"/>
              </w:rPr>
              <w:t>专业LED条状显示产品供应商</w:t>
            </w:r>
            <w:r w:rsidR="002633B7">
              <w:rPr>
                <w:rFonts w:asciiTheme="minorEastAsia" w:eastAsiaTheme="minorEastAsia" w:hAnsiTheme="minorEastAsia" w:cs="Arial" w:hint="eastAsia"/>
                <w:color w:val="000000"/>
                <w:kern w:val="0"/>
                <w:sz w:val="24"/>
                <w:szCs w:val="24"/>
              </w:rPr>
              <w:t>，</w:t>
            </w:r>
            <w:r w:rsidRPr="004401A3">
              <w:rPr>
                <w:rFonts w:asciiTheme="minorEastAsia" w:eastAsiaTheme="minorEastAsia" w:hAnsiTheme="minorEastAsia" w:cs="Arial" w:hint="eastAsia"/>
                <w:color w:val="000000"/>
                <w:kern w:val="0"/>
                <w:sz w:val="24"/>
                <w:szCs w:val="24"/>
              </w:rPr>
              <w:t>主要为系统集成商、销售与工程公司、广告公司等各类应用企业提供专业的LED</w:t>
            </w:r>
            <w:r w:rsidR="002633B7" w:rsidRPr="002633B7">
              <w:rPr>
                <w:rFonts w:asciiTheme="minorEastAsia" w:eastAsiaTheme="minorEastAsia" w:hAnsiTheme="minorEastAsia" w:cs="Arial" w:hint="eastAsia"/>
                <w:color w:val="000000"/>
                <w:kern w:val="0"/>
                <w:sz w:val="24"/>
                <w:szCs w:val="24"/>
              </w:rPr>
              <w:t>条状</w:t>
            </w:r>
            <w:r w:rsidRPr="004401A3">
              <w:rPr>
                <w:rFonts w:asciiTheme="minorEastAsia" w:eastAsiaTheme="minorEastAsia" w:hAnsiTheme="minorEastAsia" w:cs="Arial" w:hint="eastAsia"/>
                <w:color w:val="000000"/>
                <w:kern w:val="0"/>
                <w:sz w:val="24"/>
                <w:szCs w:val="24"/>
              </w:rPr>
              <w:t>显示产品、系统技术方案及综合配套服务，主营的显示屏产品有户外超大显示屏、玻璃幕墙显示屏、创意显示屏、特种安装显示屏以及建筑多媒体景观。蔷薇科技的企业定位是成为建筑多媒体景观整体解决方案领导者。</w:t>
            </w:r>
          </w:p>
          <w:p w:rsidR="004401A3" w:rsidRPr="004401A3" w:rsidRDefault="004401A3" w:rsidP="004401A3">
            <w:pPr>
              <w:spacing w:line="360" w:lineRule="auto"/>
              <w:ind w:firstLineChars="200" w:firstLine="482"/>
              <w:rPr>
                <w:rFonts w:asciiTheme="minorEastAsia" w:eastAsiaTheme="minorEastAsia" w:hAnsiTheme="minorEastAsia" w:cs="Arial"/>
                <w:b/>
                <w:color w:val="000000"/>
                <w:kern w:val="0"/>
                <w:sz w:val="24"/>
                <w:szCs w:val="24"/>
              </w:rPr>
            </w:pPr>
            <w:r>
              <w:rPr>
                <w:rFonts w:asciiTheme="minorEastAsia" w:eastAsiaTheme="minorEastAsia" w:hAnsiTheme="minorEastAsia" w:cs="Arial" w:hint="eastAsia"/>
                <w:b/>
                <w:color w:val="000000"/>
                <w:kern w:val="0"/>
                <w:sz w:val="24"/>
                <w:szCs w:val="24"/>
              </w:rPr>
              <w:t>（三）景观照明事业部总经理刘俊先生简要介绍清华康利业务概况</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lastRenderedPageBreak/>
              <w:t>山东清华康利城市照明研究设计院有限公司原隶属于康利企业集团，注册资金5,100万元，是集城市照明规划设计、工程施工、灯具研究开发、行业人才教学培训为一体的专业性研究咨询机构。清华康利下设8个设计所，4个技术所，拥有中、高级照明设计师，注册城市规划师，环境艺术设计师等50余人，坚持走“产学研一体化”的发展道路，以照明技术的先进性和照明科研成果的前瞻性，使之转化为先进的生产力，为客户提供城市照明建设一站式解决方案，是一家具备行业“双甲”资质的专业照明设计院。清华康利的企业定位是为客户提供城市照明建设咨询、规划、设计、融投、建设、运营等全方位一站式解决方案的城市照明全程服务商。</w:t>
            </w:r>
          </w:p>
          <w:p w:rsidR="004401A3" w:rsidRPr="004401A3" w:rsidRDefault="004401A3" w:rsidP="004401A3">
            <w:pPr>
              <w:spacing w:line="360" w:lineRule="auto"/>
              <w:ind w:firstLineChars="200" w:firstLine="482"/>
              <w:rPr>
                <w:rFonts w:asciiTheme="minorEastAsia" w:eastAsiaTheme="minorEastAsia" w:hAnsiTheme="minorEastAsia" w:cs="Arial"/>
                <w:b/>
                <w:color w:val="000000"/>
                <w:kern w:val="0"/>
                <w:sz w:val="24"/>
                <w:szCs w:val="24"/>
              </w:rPr>
            </w:pPr>
            <w:r w:rsidRPr="004401A3">
              <w:rPr>
                <w:rFonts w:asciiTheme="minorEastAsia" w:eastAsiaTheme="minorEastAsia" w:hAnsiTheme="minorEastAsia" w:cs="Arial" w:hint="eastAsia"/>
                <w:b/>
                <w:color w:val="000000"/>
                <w:kern w:val="0"/>
                <w:sz w:val="24"/>
                <w:szCs w:val="24"/>
              </w:rPr>
              <w:t>（四）</w:t>
            </w:r>
            <w:r>
              <w:rPr>
                <w:rFonts w:asciiTheme="minorEastAsia" w:eastAsiaTheme="minorEastAsia" w:hAnsiTheme="minorEastAsia" w:cs="Arial" w:hint="eastAsia"/>
                <w:b/>
                <w:color w:val="000000"/>
                <w:kern w:val="0"/>
                <w:sz w:val="24"/>
                <w:szCs w:val="24"/>
              </w:rPr>
              <w:t>投资总监梅志敏先生简要介绍爱加照明业务概况</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东莞市爱加照明科技有限公司成立于2009年，是一家致力于高端建筑空间的专业照明企业。爱加照明旗下的 VF品牌是专业照明领域的领先品牌，在专业照明渠道具有较高的品牌美誉度，在高端业主客户群、照明设计公司和室内设计公司客户群具有广泛的品牌知名度和影响力。爱加照明主要服务领域为：星级酒店、高端公寓住宅和精装住宅、高端精品商城 Mall、高端写字楼、精品会所、美术馆、博物馆等。爱加照明经过多年的不断努力，公司市场占有率不断提升，逐步扭转了高端照明市场被进口品牌占据的局面。</w:t>
            </w:r>
          </w:p>
          <w:p w:rsidR="004401A3" w:rsidRPr="004401A3" w:rsidRDefault="004401A3" w:rsidP="004401A3">
            <w:pPr>
              <w:spacing w:line="360" w:lineRule="auto"/>
              <w:ind w:firstLineChars="200" w:firstLine="482"/>
              <w:rPr>
                <w:rFonts w:asciiTheme="minorEastAsia" w:eastAsiaTheme="minorEastAsia" w:hAnsiTheme="minorEastAsia" w:cs="Arial"/>
                <w:b/>
                <w:color w:val="000000"/>
                <w:kern w:val="0"/>
                <w:sz w:val="24"/>
                <w:szCs w:val="24"/>
              </w:rPr>
            </w:pPr>
            <w:r>
              <w:rPr>
                <w:rFonts w:asciiTheme="minorEastAsia" w:eastAsiaTheme="minorEastAsia" w:hAnsiTheme="minorEastAsia" w:cs="Arial" w:hint="eastAsia"/>
                <w:b/>
                <w:color w:val="000000"/>
                <w:kern w:val="0"/>
                <w:sz w:val="24"/>
                <w:szCs w:val="24"/>
              </w:rPr>
              <w:t>（五）杭州柏年董事长潘昌杭先生简要介绍杭州柏年业务概况</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杭州柏年智能光电子股份有限公司成立于1996年，注册资金1.74亿元，是2008年北京奥运会供应商、2010年上海世博会供应商、2014年北京APEC供应商、2016年杭州G20峰会项目服务商，与56家世界500强企业建立了长期合作关系。杭州柏年一直专注于显示屏标识标牌业务，客户群体覆盖轨道交通、能源油站、酒店、餐饮、金融机构等众多行业，可与公</w:t>
            </w:r>
            <w:r w:rsidRPr="004401A3">
              <w:rPr>
                <w:rFonts w:asciiTheme="minorEastAsia" w:eastAsiaTheme="minorEastAsia" w:hAnsiTheme="minorEastAsia" w:cs="Arial" w:hint="eastAsia"/>
                <w:color w:val="000000"/>
                <w:kern w:val="0"/>
                <w:sz w:val="24"/>
                <w:szCs w:val="24"/>
              </w:rPr>
              <w:lastRenderedPageBreak/>
              <w:t>司当前的显示业务板块形成较好的协同效应，加强公司在标识标牌业务的布局。同时，杭州柏年近几年在景观照明业务方面已积累了一定品牌影响力和高端案例，其在楼宇建筑及山体景观照明业务的优势将有效提升公司在景观照明市场的品牌和影响力。</w:t>
            </w:r>
          </w:p>
          <w:p w:rsidR="004401A3" w:rsidRPr="004401A3" w:rsidRDefault="004401A3" w:rsidP="004401A3">
            <w:pPr>
              <w:spacing w:line="360" w:lineRule="auto"/>
              <w:ind w:firstLineChars="200" w:firstLine="482"/>
              <w:rPr>
                <w:rFonts w:asciiTheme="minorEastAsia" w:eastAsiaTheme="minorEastAsia" w:hAnsiTheme="minorEastAsia" w:cs="Arial"/>
                <w:b/>
                <w:color w:val="000000"/>
                <w:kern w:val="0"/>
                <w:sz w:val="24"/>
                <w:szCs w:val="24"/>
              </w:rPr>
            </w:pPr>
            <w:r w:rsidRPr="004401A3">
              <w:rPr>
                <w:rFonts w:asciiTheme="minorEastAsia" w:eastAsiaTheme="minorEastAsia" w:hAnsiTheme="minorEastAsia" w:cs="Arial" w:hint="eastAsia"/>
                <w:b/>
                <w:color w:val="000000"/>
                <w:kern w:val="0"/>
                <w:sz w:val="24"/>
                <w:szCs w:val="24"/>
              </w:rPr>
              <w:t>（六）投资者提出的主要问题及公司回复情况</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公司就投资者在本次交流会上提出的普遍关心问题进行了回复，具体如下：</w:t>
            </w:r>
          </w:p>
          <w:p w:rsidR="004401A3" w:rsidRPr="004401A3" w:rsidRDefault="004401A3" w:rsidP="004401A3">
            <w:pPr>
              <w:spacing w:line="360" w:lineRule="auto"/>
              <w:ind w:firstLineChars="200" w:firstLine="482"/>
              <w:rPr>
                <w:rFonts w:asciiTheme="minorEastAsia" w:eastAsiaTheme="minorEastAsia" w:hAnsiTheme="minorEastAsia" w:cs="Arial"/>
                <w:b/>
                <w:color w:val="000000"/>
                <w:kern w:val="0"/>
                <w:sz w:val="24"/>
                <w:szCs w:val="24"/>
              </w:rPr>
            </w:pPr>
            <w:r w:rsidRPr="004401A3">
              <w:rPr>
                <w:rFonts w:asciiTheme="minorEastAsia" w:eastAsiaTheme="minorEastAsia" w:hAnsiTheme="minorEastAsia" w:cs="Arial" w:hint="eastAsia"/>
                <w:b/>
                <w:color w:val="000000"/>
                <w:kern w:val="0"/>
                <w:sz w:val="24"/>
                <w:szCs w:val="24"/>
              </w:rPr>
              <w:t>1、公司近期收购的</w:t>
            </w:r>
            <w:r w:rsidR="00B90BC3">
              <w:rPr>
                <w:rFonts w:asciiTheme="minorEastAsia" w:eastAsiaTheme="minorEastAsia" w:hAnsiTheme="minorEastAsia" w:cs="Arial" w:hint="eastAsia"/>
                <w:b/>
                <w:color w:val="000000"/>
                <w:kern w:val="0"/>
                <w:sz w:val="24"/>
                <w:szCs w:val="24"/>
              </w:rPr>
              <w:t>标的</w:t>
            </w:r>
            <w:r w:rsidRPr="004401A3">
              <w:rPr>
                <w:rFonts w:asciiTheme="minorEastAsia" w:eastAsiaTheme="minorEastAsia" w:hAnsiTheme="minorEastAsia" w:cs="Arial" w:hint="eastAsia"/>
                <w:b/>
                <w:color w:val="000000"/>
                <w:kern w:val="0"/>
                <w:sz w:val="24"/>
                <w:szCs w:val="24"/>
              </w:rPr>
              <w:t>公司大多是采用现金收购的方式，请问公司</w:t>
            </w:r>
            <w:r w:rsidR="00B90BC3">
              <w:rPr>
                <w:rFonts w:asciiTheme="minorEastAsia" w:eastAsiaTheme="minorEastAsia" w:hAnsiTheme="minorEastAsia" w:cs="Arial" w:hint="eastAsia"/>
                <w:b/>
                <w:color w:val="000000"/>
                <w:kern w:val="0"/>
                <w:sz w:val="24"/>
                <w:szCs w:val="24"/>
              </w:rPr>
              <w:t>如何调动新收购子公司的积极性？</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回复：爱加照明的管理层及核心员工参与了公司本期限制性股票激励计划，蔷薇科技和清华康利将使用部分股权转让款从二级市场购买洲明科技股票并在业绩承诺期间锁定。同时，公司将与杭州柏年就后续的激励方式进行持续深入的探讨。</w:t>
            </w:r>
          </w:p>
          <w:p w:rsid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p>
          <w:p w:rsidR="004401A3" w:rsidRPr="004401A3" w:rsidRDefault="004401A3" w:rsidP="004401A3">
            <w:pPr>
              <w:spacing w:line="360" w:lineRule="auto"/>
              <w:ind w:firstLineChars="200" w:firstLine="482"/>
              <w:rPr>
                <w:rFonts w:asciiTheme="minorEastAsia" w:eastAsiaTheme="minorEastAsia" w:hAnsiTheme="minorEastAsia" w:cs="Arial"/>
                <w:b/>
                <w:color w:val="000000"/>
                <w:kern w:val="0"/>
                <w:sz w:val="24"/>
                <w:szCs w:val="24"/>
              </w:rPr>
            </w:pPr>
            <w:r w:rsidRPr="004401A3">
              <w:rPr>
                <w:rFonts w:asciiTheme="minorEastAsia" w:eastAsiaTheme="minorEastAsia" w:hAnsiTheme="minorEastAsia" w:cs="Arial" w:hint="eastAsia"/>
                <w:b/>
                <w:color w:val="000000"/>
                <w:kern w:val="0"/>
                <w:sz w:val="24"/>
                <w:szCs w:val="24"/>
              </w:rPr>
              <w:t>2、近年来，小间距技术不断取得新的发展和突破，行业快速发展的同时也带来了大量的新进入者，请问公司将如何保持自身的产品和业务优势？</w:t>
            </w:r>
          </w:p>
          <w:p w:rsid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回复：就目前的小间距技术水平来看，批量化生产的P0.9</w:t>
            </w:r>
            <w:r w:rsidR="004C4573">
              <w:rPr>
                <w:rFonts w:asciiTheme="minorEastAsia" w:eastAsiaTheme="minorEastAsia" w:hAnsiTheme="minorEastAsia" w:cs="Arial" w:hint="eastAsia"/>
                <w:color w:val="000000"/>
                <w:kern w:val="0"/>
                <w:sz w:val="24"/>
                <w:szCs w:val="24"/>
              </w:rPr>
              <w:t>mm</w:t>
            </w:r>
            <w:r w:rsidRPr="004401A3">
              <w:rPr>
                <w:rFonts w:asciiTheme="minorEastAsia" w:eastAsiaTheme="minorEastAsia" w:hAnsiTheme="minorEastAsia" w:cs="Arial" w:hint="eastAsia"/>
                <w:color w:val="000000"/>
                <w:kern w:val="0"/>
                <w:sz w:val="24"/>
                <w:szCs w:val="24"/>
              </w:rPr>
              <w:t>和P0.7</w:t>
            </w:r>
            <w:r w:rsidR="004C4573">
              <w:rPr>
                <w:rFonts w:asciiTheme="minorEastAsia" w:eastAsiaTheme="minorEastAsia" w:hAnsiTheme="minorEastAsia" w:cs="Arial" w:hint="eastAsia"/>
                <w:color w:val="000000"/>
                <w:kern w:val="0"/>
                <w:sz w:val="24"/>
                <w:szCs w:val="24"/>
              </w:rPr>
              <w:t>mm</w:t>
            </w:r>
            <w:r w:rsidRPr="004401A3">
              <w:rPr>
                <w:rFonts w:asciiTheme="minorEastAsia" w:eastAsiaTheme="minorEastAsia" w:hAnsiTheme="minorEastAsia" w:cs="Arial" w:hint="eastAsia"/>
                <w:color w:val="000000"/>
                <w:kern w:val="0"/>
                <w:sz w:val="24"/>
                <w:szCs w:val="24"/>
              </w:rPr>
              <w:t>的应用产品基本已经到达技术顶峰，未来的技术将在芯片和封装工艺上发生变革，例如COB技术、Micro LED等，公司也一直在密切关注LED行业新技术和新工艺的发展趋势,积极与芯片厂商开展实验与测试，通过引进国内外高端技术人才、组建专业的研发团队等方式不断提升研发水平，为上述前瞻性的技术做储备</w:t>
            </w:r>
            <w:r>
              <w:rPr>
                <w:rFonts w:asciiTheme="minorEastAsia" w:eastAsiaTheme="minorEastAsia" w:hAnsiTheme="minorEastAsia" w:cs="Arial" w:hint="eastAsia"/>
                <w:color w:val="000000"/>
                <w:kern w:val="0"/>
                <w:sz w:val="24"/>
                <w:szCs w:val="24"/>
              </w:rPr>
              <w:t>,</w:t>
            </w:r>
            <w:r w:rsidRPr="004401A3">
              <w:rPr>
                <w:rFonts w:asciiTheme="minorEastAsia" w:eastAsiaTheme="minorEastAsia" w:hAnsiTheme="minorEastAsia" w:cs="Arial" w:hint="eastAsia"/>
                <w:color w:val="000000"/>
                <w:kern w:val="0"/>
                <w:sz w:val="24"/>
                <w:szCs w:val="24"/>
              </w:rPr>
              <w:t>持续保持行业领先地位。</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p>
          <w:p w:rsidR="004401A3" w:rsidRPr="004401A3" w:rsidRDefault="004401A3" w:rsidP="004401A3">
            <w:pPr>
              <w:spacing w:line="360" w:lineRule="auto"/>
              <w:ind w:firstLineChars="200" w:firstLine="482"/>
              <w:rPr>
                <w:rFonts w:asciiTheme="minorEastAsia" w:eastAsiaTheme="minorEastAsia" w:hAnsiTheme="minorEastAsia" w:cs="Arial"/>
                <w:b/>
                <w:color w:val="000000"/>
                <w:kern w:val="0"/>
                <w:sz w:val="24"/>
                <w:szCs w:val="24"/>
              </w:rPr>
            </w:pPr>
            <w:r w:rsidRPr="004401A3">
              <w:rPr>
                <w:rFonts w:asciiTheme="minorEastAsia" w:eastAsiaTheme="minorEastAsia" w:hAnsiTheme="minorEastAsia" w:cs="Arial" w:hint="eastAsia"/>
                <w:b/>
                <w:color w:val="000000"/>
                <w:kern w:val="0"/>
                <w:sz w:val="24"/>
                <w:szCs w:val="24"/>
              </w:rPr>
              <w:t>3、公司目前主要收购标的均为国内企业，请问公司未来在海外市场将如何布局和发展？</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回复：2016年，公司整体的营业收入为17.5亿元，其中</w:t>
            </w:r>
            <w:r w:rsidRPr="004401A3">
              <w:rPr>
                <w:rFonts w:asciiTheme="minorEastAsia" w:eastAsiaTheme="minorEastAsia" w:hAnsiTheme="minorEastAsia" w:cs="Arial" w:hint="eastAsia"/>
                <w:color w:val="000000"/>
                <w:kern w:val="0"/>
                <w:sz w:val="24"/>
                <w:szCs w:val="24"/>
              </w:rPr>
              <w:lastRenderedPageBreak/>
              <w:t>海外收入占比为67%，境内收入占比为33%，因此海外市场是公司整体业务的重要组成部分，公司目前在全球的160多个国家拥有700余家销售渠道，公司将持续推进海外市场开拓。在LED应用技术层面，目前国内企业依然占据主导地位，而海外的LED应用领域企业基本已失去与中国企业抗衡的竞争力。目前LED应用领域的企业仍然较为分散，行业整合一定是未来发展趋势，公司也会持续关注海外市场机会，利用“内生+外延”两种方法，不断推动企业稳健发展。</w:t>
            </w:r>
          </w:p>
          <w:p w:rsid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p>
          <w:p w:rsidR="004401A3" w:rsidRPr="004401A3" w:rsidRDefault="004401A3" w:rsidP="004401A3">
            <w:pPr>
              <w:spacing w:line="360" w:lineRule="auto"/>
              <w:ind w:firstLineChars="200" w:firstLine="482"/>
              <w:rPr>
                <w:rFonts w:asciiTheme="minorEastAsia" w:eastAsiaTheme="minorEastAsia" w:hAnsiTheme="minorEastAsia" w:cs="Arial"/>
                <w:b/>
                <w:color w:val="000000"/>
                <w:kern w:val="0"/>
                <w:sz w:val="24"/>
                <w:szCs w:val="24"/>
              </w:rPr>
            </w:pPr>
            <w:r w:rsidRPr="004401A3">
              <w:rPr>
                <w:rFonts w:asciiTheme="minorEastAsia" w:eastAsiaTheme="minorEastAsia" w:hAnsiTheme="minorEastAsia" w:cs="Arial" w:hint="eastAsia"/>
                <w:b/>
                <w:color w:val="000000"/>
                <w:kern w:val="0"/>
                <w:sz w:val="24"/>
                <w:szCs w:val="24"/>
              </w:rPr>
              <w:t>4、2016年雷迪奥净利润</w:t>
            </w:r>
            <w:r w:rsidR="002633B7">
              <w:rPr>
                <w:rFonts w:asciiTheme="minorEastAsia" w:eastAsiaTheme="minorEastAsia" w:hAnsiTheme="minorEastAsia" w:cs="Arial" w:hint="eastAsia"/>
                <w:b/>
                <w:color w:val="000000"/>
                <w:kern w:val="0"/>
                <w:sz w:val="24"/>
                <w:szCs w:val="24"/>
              </w:rPr>
              <w:t>出现</w:t>
            </w:r>
            <w:r w:rsidRPr="004401A3">
              <w:rPr>
                <w:rFonts w:asciiTheme="minorEastAsia" w:eastAsiaTheme="minorEastAsia" w:hAnsiTheme="minorEastAsia" w:cs="Arial" w:hint="eastAsia"/>
                <w:b/>
                <w:color w:val="000000"/>
                <w:kern w:val="0"/>
                <w:sz w:val="24"/>
                <w:szCs w:val="24"/>
              </w:rPr>
              <w:t>小幅下滑，请问雷迪奥的业务是否存在周期性，后续能否保持持续增长？</w:t>
            </w:r>
          </w:p>
          <w:p w:rsidR="004401A3" w:rsidRPr="004401A3" w:rsidRDefault="004401A3" w:rsidP="004401A3">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回复：2016年，雷迪奥净利润小幅下滑的主要原因：一是为避免同质化产品竞争，保持产品特有的创意、品质及价值，雷迪奥对产品销售结构进行了调整，导致高毛利率产品销售占比下降；二是为进一步开拓海外市场份额，雷迪奥加大了对海外市场的投入，导致销售费用较去年同期相比有所上升。显示屏租赁行业仍处于高速增长阶段，不存在周期性。2017年以来，雷迪奥将客户群体下沉，中高端齐发，将进一步助力业绩稳健增长。</w:t>
            </w:r>
          </w:p>
          <w:p w:rsidR="00812B86" w:rsidRPr="0014748C" w:rsidRDefault="00812B86" w:rsidP="004401A3">
            <w:pPr>
              <w:spacing w:line="360" w:lineRule="auto"/>
              <w:jc w:val="left"/>
              <w:rPr>
                <w:rFonts w:ascii="TimesNewRoman"/>
                <w:sz w:val="24"/>
                <w:szCs w:val="24"/>
              </w:rPr>
            </w:pPr>
          </w:p>
          <w:p w:rsidR="00D3704D" w:rsidRPr="00943E94" w:rsidRDefault="00D3704D" w:rsidP="00A30CC8">
            <w:pPr>
              <w:spacing w:line="360" w:lineRule="auto"/>
              <w:ind w:firstLineChars="200" w:firstLine="480"/>
              <w:jc w:val="left"/>
              <w:rPr>
                <w:rFonts w:ascii="TimesNewRoman" w:hAnsi="TimesNewRoman" w:hint="eastAsia"/>
                <w:sz w:val="24"/>
                <w:szCs w:val="24"/>
              </w:rPr>
            </w:pPr>
            <w:r w:rsidRPr="00943E94">
              <w:rPr>
                <w:rFonts w:ascii="TimesNewRoman" w:hint="eastAsia"/>
                <w:sz w:val="24"/>
                <w:szCs w:val="24"/>
              </w:rPr>
              <w:t>接待过程中，公司接待人员与投资者进行了充分的交流与沟通，严格按照有关制度规定，没有出现未公开重大信息泄露等情况，同时已按深交所要求签署调研《承诺书》。</w:t>
            </w:r>
          </w:p>
        </w:tc>
      </w:tr>
      <w:tr w:rsidR="00D3704D" w:rsidRPr="00943E94" w:rsidTr="008004CB">
        <w:tc>
          <w:tcPr>
            <w:tcW w:w="1908" w:type="dxa"/>
            <w:vAlign w:val="center"/>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lastRenderedPageBreak/>
              <w:t>附件清单（如有）</w:t>
            </w:r>
          </w:p>
        </w:tc>
        <w:tc>
          <w:tcPr>
            <w:tcW w:w="6614" w:type="dxa"/>
          </w:tcPr>
          <w:p w:rsidR="00D3704D" w:rsidRPr="00943E94" w:rsidRDefault="00D3704D" w:rsidP="008004CB">
            <w:pPr>
              <w:spacing w:line="480" w:lineRule="atLeast"/>
              <w:rPr>
                <w:rFonts w:ascii="TimesNewRoman" w:hAnsi="TimesNewRoman" w:hint="eastAsia"/>
                <w:sz w:val="24"/>
                <w:szCs w:val="24"/>
              </w:rPr>
            </w:pPr>
            <w:r w:rsidRPr="00943E94">
              <w:rPr>
                <w:rFonts w:ascii="TimesNewRoman" w:hAnsi="宋体" w:hint="eastAsia"/>
                <w:sz w:val="24"/>
                <w:szCs w:val="24"/>
              </w:rPr>
              <w:t>无</w:t>
            </w:r>
          </w:p>
        </w:tc>
      </w:tr>
      <w:tr w:rsidR="00D3704D" w:rsidRPr="00943E94" w:rsidTr="008004CB">
        <w:tc>
          <w:tcPr>
            <w:tcW w:w="1908" w:type="dxa"/>
            <w:vAlign w:val="center"/>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日期</w:t>
            </w:r>
          </w:p>
        </w:tc>
        <w:tc>
          <w:tcPr>
            <w:tcW w:w="6614" w:type="dxa"/>
          </w:tcPr>
          <w:p w:rsidR="00D3704D" w:rsidRPr="00943E94" w:rsidRDefault="00D3704D" w:rsidP="004401A3">
            <w:pPr>
              <w:spacing w:line="480" w:lineRule="atLeast"/>
              <w:rPr>
                <w:rFonts w:ascii="TimesNewRoman" w:hAnsi="TimesNewRoman" w:hint="eastAsia"/>
                <w:sz w:val="24"/>
                <w:szCs w:val="24"/>
              </w:rPr>
            </w:pPr>
            <w:r w:rsidRPr="00943E94">
              <w:rPr>
                <w:rFonts w:ascii="TimesNewRoman" w:hAnsi="TimesNewRoman" w:hint="eastAsia"/>
                <w:sz w:val="24"/>
                <w:szCs w:val="24"/>
              </w:rPr>
              <w:t>2017</w:t>
            </w:r>
            <w:r w:rsidRPr="00943E94">
              <w:rPr>
                <w:rFonts w:ascii="TimesNewRoman" w:hAnsi="宋体" w:hint="eastAsia"/>
                <w:sz w:val="24"/>
                <w:szCs w:val="24"/>
              </w:rPr>
              <w:t>年</w:t>
            </w:r>
            <w:r w:rsidR="00CE3A25">
              <w:rPr>
                <w:rFonts w:ascii="TimesNewRoman" w:hAnsi="TimesNewRoman" w:hint="eastAsia"/>
                <w:sz w:val="24"/>
                <w:szCs w:val="24"/>
              </w:rPr>
              <w:t>1</w:t>
            </w:r>
            <w:r w:rsidR="004401A3">
              <w:rPr>
                <w:rFonts w:ascii="TimesNewRoman" w:hAnsi="TimesNewRoman" w:hint="eastAsia"/>
                <w:sz w:val="24"/>
                <w:szCs w:val="24"/>
              </w:rPr>
              <w:t>2</w:t>
            </w:r>
            <w:r w:rsidRPr="00943E94">
              <w:rPr>
                <w:rFonts w:ascii="TimesNewRoman" w:hAnsi="宋体" w:hint="eastAsia"/>
                <w:sz w:val="24"/>
                <w:szCs w:val="24"/>
              </w:rPr>
              <w:t>月</w:t>
            </w:r>
            <w:r w:rsidR="0014748C">
              <w:rPr>
                <w:rFonts w:ascii="TimesNewRoman" w:hAnsi="TimesNewRoman" w:hint="eastAsia"/>
                <w:sz w:val="24"/>
                <w:szCs w:val="24"/>
              </w:rPr>
              <w:t>1</w:t>
            </w:r>
            <w:r w:rsidR="004401A3">
              <w:rPr>
                <w:rFonts w:ascii="TimesNewRoman" w:hAnsi="TimesNewRoman" w:hint="eastAsia"/>
                <w:sz w:val="24"/>
                <w:szCs w:val="24"/>
              </w:rPr>
              <w:t>5</w:t>
            </w:r>
            <w:r w:rsidRPr="00943E94">
              <w:rPr>
                <w:rFonts w:ascii="TimesNewRoman" w:hAnsi="宋体" w:hint="eastAsia"/>
                <w:sz w:val="24"/>
                <w:szCs w:val="24"/>
              </w:rPr>
              <w:t>日</w:t>
            </w:r>
          </w:p>
        </w:tc>
      </w:tr>
    </w:tbl>
    <w:p w:rsidR="00D3704D" w:rsidRPr="00943E94" w:rsidRDefault="00D3704D" w:rsidP="00D3704D">
      <w:pPr>
        <w:rPr>
          <w:rFonts w:ascii="TimesNewRoman" w:hAnsi="TimesNewRoman" w:hint="eastAsia"/>
        </w:rPr>
      </w:pPr>
    </w:p>
    <w:p w:rsidR="00D3704D" w:rsidRPr="00943E94" w:rsidRDefault="00D3704D" w:rsidP="00D3704D">
      <w:pPr>
        <w:rPr>
          <w:rFonts w:ascii="TimesNewRoman" w:hAnsi="TimesNewRoman" w:hint="eastAsia"/>
        </w:rPr>
      </w:pPr>
    </w:p>
    <w:p w:rsidR="00E80235" w:rsidRPr="00943E94" w:rsidRDefault="00E80235">
      <w:pPr>
        <w:rPr>
          <w:rFonts w:ascii="TimesNewRoman" w:hAnsi="TimesNewRoman" w:hint="eastAsia"/>
        </w:rPr>
      </w:pPr>
    </w:p>
    <w:sectPr w:rsidR="00E80235" w:rsidRPr="00943E94" w:rsidSect="007A2EBA">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28C" w:rsidRDefault="0018028C" w:rsidP="00D3704D">
      <w:r>
        <w:separator/>
      </w:r>
    </w:p>
  </w:endnote>
  <w:endnote w:type="continuationSeparator" w:id="1">
    <w:p w:rsidR="0018028C" w:rsidRDefault="0018028C" w:rsidP="00D370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28C" w:rsidRDefault="0018028C" w:rsidP="00D3704D">
      <w:r>
        <w:separator/>
      </w:r>
    </w:p>
  </w:footnote>
  <w:footnote w:type="continuationSeparator" w:id="1">
    <w:p w:rsidR="0018028C" w:rsidRDefault="0018028C" w:rsidP="00D370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704D"/>
    <w:rsid w:val="0001134B"/>
    <w:rsid w:val="00016D7C"/>
    <w:rsid w:val="00041BD6"/>
    <w:rsid w:val="00045A41"/>
    <w:rsid w:val="000846EC"/>
    <w:rsid w:val="000963FF"/>
    <w:rsid w:val="000D0E7C"/>
    <w:rsid w:val="00100FB7"/>
    <w:rsid w:val="001254C0"/>
    <w:rsid w:val="00136249"/>
    <w:rsid w:val="00136A3B"/>
    <w:rsid w:val="00140353"/>
    <w:rsid w:val="0014748C"/>
    <w:rsid w:val="0018028C"/>
    <w:rsid w:val="001828EB"/>
    <w:rsid w:val="001A5A36"/>
    <w:rsid w:val="001C6DC4"/>
    <w:rsid w:val="002264AA"/>
    <w:rsid w:val="00241ED6"/>
    <w:rsid w:val="00246516"/>
    <w:rsid w:val="002633B7"/>
    <w:rsid w:val="002A5EDA"/>
    <w:rsid w:val="00337761"/>
    <w:rsid w:val="00366D14"/>
    <w:rsid w:val="00370EE6"/>
    <w:rsid w:val="003C23EA"/>
    <w:rsid w:val="003D0B0D"/>
    <w:rsid w:val="003E6CF9"/>
    <w:rsid w:val="003F018A"/>
    <w:rsid w:val="00416724"/>
    <w:rsid w:val="00421CAC"/>
    <w:rsid w:val="004401A3"/>
    <w:rsid w:val="004422C1"/>
    <w:rsid w:val="0044659F"/>
    <w:rsid w:val="004511AD"/>
    <w:rsid w:val="0046364D"/>
    <w:rsid w:val="004A0EBC"/>
    <w:rsid w:val="004C4573"/>
    <w:rsid w:val="004F3751"/>
    <w:rsid w:val="00502D46"/>
    <w:rsid w:val="00511DA7"/>
    <w:rsid w:val="005341CB"/>
    <w:rsid w:val="005B5582"/>
    <w:rsid w:val="005E11B8"/>
    <w:rsid w:val="00691AD0"/>
    <w:rsid w:val="006D42A9"/>
    <w:rsid w:val="006F05CE"/>
    <w:rsid w:val="006F3FA6"/>
    <w:rsid w:val="0070033E"/>
    <w:rsid w:val="00727C04"/>
    <w:rsid w:val="0076447D"/>
    <w:rsid w:val="007B76EC"/>
    <w:rsid w:val="00812B86"/>
    <w:rsid w:val="00822259"/>
    <w:rsid w:val="00825D5E"/>
    <w:rsid w:val="00847AFF"/>
    <w:rsid w:val="00883D42"/>
    <w:rsid w:val="008E1538"/>
    <w:rsid w:val="008E2BFB"/>
    <w:rsid w:val="008E76FF"/>
    <w:rsid w:val="009027BF"/>
    <w:rsid w:val="00932A6C"/>
    <w:rsid w:val="00941380"/>
    <w:rsid w:val="00943E94"/>
    <w:rsid w:val="0095733F"/>
    <w:rsid w:val="009C0B5A"/>
    <w:rsid w:val="009D11B8"/>
    <w:rsid w:val="009D5F85"/>
    <w:rsid w:val="00A11C23"/>
    <w:rsid w:val="00A30CC8"/>
    <w:rsid w:val="00A7584E"/>
    <w:rsid w:val="00A92AD4"/>
    <w:rsid w:val="00AB6086"/>
    <w:rsid w:val="00AD4C75"/>
    <w:rsid w:val="00AE7FF6"/>
    <w:rsid w:val="00B00CDE"/>
    <w:rsid w:val="00B246C1"/>
    <w:rsid w:val="00B37BD0"/>
    <w:rsid w:val="00B37DDB"/>
    <w:rsid w:val="00B40F71"/>
    <w:rsid w:val="00B85DA8"/>
    <w:rsid w:val="00B90BC3"/>
    <w:rsid w:val="00BC7406"/>
    <w:rsid w:val="00C30B8F"/>
    <w:rsid w:val="00C35433"/>
    <w:rsid w:val="00CA6204"/>
    <w:rsid w:val="00CA774D"/>
    <w:rsid w:val="00CD03F9"/>
    <w:rsid w:val="00CE3A25"/>
    <w:rsid w:val="00D3704D"/>
    <w:rsid w:val="00D66C56"/>
    <w:rsid w:val="00D934AE"/>
    <w:rsid w:val="00DA2DE9"/>
    <w:rsid w:val="00DC3E35"/>
    <w:rsid w:val="00DE1483"/>
    <w:rsid w:val="00E23AE5"/>
    <w:rsid w:val="00E425C7"/>
    <w:rsid w:val="00E542BE"/>
    <w:rsid w:val="00E80235"/>
    <w:rsid w:val="00E83A63"/>
    <w:rsid w:val="00EE62D5"/>
    <w:rsid w:val="00F019FE"/>
    <w:rsid w:val="00F10609"/>
    <w:rsid w:val="00F22C6B"/>
    <w:rsid w:val="00F32670"/>
    <w:rsid w:val="00F575CB"/>
    <w:rsid w:val="00F67693"/>
    <w:rsid w:val="00F8703D"/>
    <w:rsid w:val="00F91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3704D"/>
    <w:rPr>
      <w:sz w:val="18"/>
      <w:szCs w:val="18"/>
    </w:rPr>
  </w:style>
  <w:style w:type="paragraph" w:styleId="a4">
    <w:name w:val="footer"/>
    <w:basedOn w:val="a"/>
    <w:link w:val="Char0"/>
    <w:uiPriority w:val="99"/>
    <w:semiHidden/>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941380"/>
    <w:rPr>
      <w:sz w:val="21"/>
      <w:szCs w:val="21"/>
    </w:rPr>
  </w:style>
  <w:style w:type="paragraph" w:styleId="a6">
    <w:name w:val="annotation text"/>
    <w:basedOn w:val="a"/>
    <w:link w:val="Char1"/>
    <w:uiPriority w:val="99"/>
    <w:semiHidden/>
    <w:unhideWhenUsed/>
    <w:rsid w:val="00941380"/>
    <w:pPr>
      <w:jc w:val="left"/>
    </w:pPr>
  </w:style>
  <w:style w:type="character" w:customStyle="1" w:styleId="Char1">
    <w:name w:val="批注文字 Char"/>
    <w:basedOn w:val="a0"/>
    <w:link w:val="a6"/>
    <w:uiPriority w:val="99"/>
    <w:semiHidden/>
    <w:rsid w:val="00941380"/>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941380"/>
    <w:rPr>
      <w:b/>
      <w:bCs/>
    </w:rPr>
  </w:style>
  <w:style w:type="character" w:customStyle="1" w:styleId="Char2">
    <w:name w:val="批注主题 Char"/>
    <w:basedOn w:val="Char1"/>
    <w:link w:val="a7"/>
    <w:uiPriority w:val="99"/>
    <w:semiHidden/>
    <w:rsid w:val="00941380"/>
    <w:rPr>
      <w:b/>
      <w:bCs/>
    </w:rPr>
  </w:style>
  <w:style w:type="paragraph" w:styleId="a8">
    <w:name w:val="Balloon Text"/>
    <w:basedOn w:val="a"/>
    <w:link w:val="Char3"/>
    <w:uiPriority w:val="99"/>
    <w:semiHidden/>
    <w:unhideWhenUsed/>
    <w:rsid w:val="00941380"/>
    <w:rPr>
      <w:sz w:val="18"/>
      <w:szCs w:val="18"/>
    </w:rPr>
  </w:style>
  <w:style w:type="character" w:customStyle="1" w:styleId="Char3">
    <w:name w:val="批注框文本 Char"/>
    <w:basedOn w:val="a0"/>
    <w:link w:val="a8"/>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s>
</file>

<file path=word/webSettings.xml><?xml version="1.0" encoding="utf-8"?>
<w:webSettings xmlns:r="http://schemas.openxmlformats.org/officeDocument/2006/relationships" xmlns:w="http://schemas.openxmlformats.org/wordprocessingml/2006/main">
  <w:divs>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陈珊</cp:lastModifiedBy>
  <cp:revision>16</cp:revision>
  <dcterms:created xsi:type="dcterms:W3CDTF">2017-11-10T00:48:00Z</dcterms:created>
  <dcterms:modified xsi:type="dcterms:W3CDTF">2017-12-15T11:42:00Z</dcterms:modified>
</cp:coreProperties>
</file>