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4D" w:rsidRPr="00943E94" w:rsidRDefault="00D3704D" w:rsidP="00871A26">
      <w:pPr>
        <w:spacing w:beforeLines="50" w:before="156" w:afterLines="50" w:after="156"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宋体" w:hint="eastAsia"/>
          <w:sz w:val="24"/>
        </w:rPr>
        <w:t>证券代码：</w:t>
      </w:r>
      <w:r w:rsidRPr="00943E94">
        <w:rPr>
          <w:rFonts w:ascii="TimesNewRoman" w:hAnsi="TimesNewRoman" w:hint="eastAsia"/>
          <w:sz w:val="24"/>
        </w:rPr>
        <w:t xml:space="preserve">300232                                </w:t>
      </w:r>
      <w:r w:rsidRPr="00943E94">
        <w:rPr>
          <w:rFonts w:ascii="TimesNewRoman" w:hAnsi="宋体" w:hint="eastAsia"/>
          <w:sz w:val="24"/>
        </w:rPr>
        <w:t>证券简称：洲明科技</w:t>
      </w:r>
      <w:r w:rsidRPr="00943E94">
        <w:rPr>
          <w:rFonts w:ascii="TimesNewRoman" w:hAnsi="TimesNewRoman" w:hint="eastAsia"/>
          <w:sz w:val="24"/>
        </w:rPr>
        <w:t xml:space="preserve"> </w:t>
      </w:r>
    </w:p>
    <w:p w:rsidR="00D3704D" w:rsidRPr="00943E94" w:rsidRDefault="00E83A63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深圳市洲明科技股份有限公司投资者关系活动记录表（</w:t>
      </w:r>
      <w:r w:rsidR="00EC1D56">
        <w:rPr>
          <w:rFonts w:ascii="TimesNewRoman" w:hAnsi="宋体" w:hint="eastAsia"/>
          <w:b/>
          <w:sz w:val="32"/>
          <w:szCs w:val="32"/>
        </w:rPr>
        <w:t>一</w:t>
      </w:r>
      <w:r w:rsidR="00D3704D" w:rsidRPr="00943E94">
        <w:rPr>
          <w:rFonts w:ascii="TimesNewRoman" w:hAnsi="宋体" w:hint="eastAsia"/>
          <w:b/>
          <w:sz w:val="32"/>
          <w:szCs w:val="32"/>
        </w:rPr>
        <w:t>）</w:t>
      </w:r>
    </w:p>
    <w:p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                                  </w:t>
      </w:r>
      <w:r w:rsidRPr="00943E94">
        <w:rPr>
          <w:rFonts w:ascii="TimesNewRoman" w:hAnsi="宋体" w:hint="eastAsia"/>
          <w:sz w:val="24"/>
        </w:rPr>
        <w:t>编号：</w:t>
      </w:r>
      <w:r w:rsidR="006F3FA6">
        <w:rPr>
          <w:rFonts w:ascii="TimesNewRoman" w:hAnsi="TimesNewRoman" w:hint="eastAsia"/>
          <w:sz w:val="24"/>
        </w:rPr>
        <w:t>201</w:t>
      </w:r>
      <w:r w:rsidR="00EC1D56">
        <w:rPr>
          <w:rFonts w:ascii="TimesNewRoman" w:hAnsi="TimesNewRoman"/>
          <w:sz w:val="24"/>
        </w:rPr>
        <w:t>8</w:t>
      </w:r>
      <w:r w:rsidR="006F3FA6">
        <w:rPr>
          <w:rFonts w:ascii="TimesNewRoman" w:hAnsi="TimesNewRoman" w:hint="eastAsia"/>
          <w:sz w:val="24"/>
        </w:rPr>
        <w:t>-00</w:t>
      </w:r>
      <w:r w:rsidR="00EC1D56">
        <w:rPr>
          <w:rFonts w:ascii="TimesNewRoman" w:hAnsi="TimesNewRoman"/>
          <w:sz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307"/>
        <w:gridCol w:w="3307"/>
      </w:tblGrid>
      <w:tr w:rsidR="00D3704D" w:rsidRPr="00943E94" w:rsidTr="008B460B">
        <w:trPr>
          <w:trHeight w:val="2555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</w:p>
        </w:tc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D3704D" w:rsidRPr="00943E94" w:rsidRDefault="00337761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bCs/>
                <w:iCs/>
                <w:color w:val="000000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利润说明会</w:t>
            </w:r>
          </w:p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943E94" w:rsidRDefault="002910E9" w:rsidP="008004C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bCs/>
                <w:iCs/>
                <w:color w:val="000000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现场参观</w:t>
            </w:r>
            <w:r w:rsidR="00D3704D" w:rsidRPr="00943E94">
              <w:rPr>
                <w:rFonts w:ascii="TimesNewRoman" w:hAnsi="TimesNewRoman"/>
                <w:sz w:val="24"/>
              </w:rPr>
              <w:tab/>
            </w:r>
          </w:p>
          <w:p w:rsidR="00D3704D" w:rsidRPr="00943E94" w:rsidRDefault="00D3704D" w:rsidP="008004CB">
            <w:pPr>
              <w:tabs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其他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</w:t>
            </w:r>
          </w:p>
        </w:tc>
      </w:tr>
      <w:tr w:rsidR="008B460B" w:rsidRPr="00943E94" w:rsidTr="008B460B">
        <w:trPr>
          <w:trHeight w:val="957"/>
        </w:trPr>
        <w:tc>
          <w:tcPr>
            <w:tcW w:w="1908" w:type="dxa"/>
          </w:tcPr>
          <w:p w:rsidR="008B460B" w:rsidRPr="00943E94" w:rsidRDefault="008B460B" w:rsidP="004401A3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3307" w:type="dxa"/>
            <w:tcBorders>
              <w:right w:val="nil"/>
            </w:tcBorders>
          </w:tcPr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安信乾盛：方彬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禾其投资：王祥麒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进化论资产管理：侯文宽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上海综艺控股：火炎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天风天成：宋鹏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相聚资本：余晓畅</w:t>
            </w:r>
          </w:p>
          <w:p w:rsidR="008B460B" w:rsidRPr="00246516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中金公司：冯达</w:t>
            </w:r>
          </w:p>
        </w:tc>
        <w:tc>
          <w:tcPr>
            <w:tcW w:w="3307" w:type="dxa"/>
            <w:tcBorders>
              <w:left w:val="nil"/>
            </w:tcBorders>
          </w:tcPr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呈瑞投资：邵帅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华夏人寿：宫永建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凯丰投资：袁维平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盛盈资本：霍霄</w:t>
            </w:r>
          </w:p>
          <w:p w:rsid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天风证券：温玉章</w:t>
            </w:r>
          </w:p>
          <w:p w:rsidR="008B460B" w:rsidRPr="008B460B" w:rsidRDefault="008B460B" w:rsidP="00246516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源乘投资：胡亚男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4401A3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/>
                <w:sz w:val="24"/>
              </w:rPr>
              <w:t>201</w:t>
            </w:r>
            <w:r w:rsidR="00EC1D56">
              <w:rPr>
                <w:rFonts w:ascii="TimesNewRoman" w:hAnsi="TimesNewRoman"/>
                <w:sz w:val="24"/>
              </w:rPr>
              <w:t>8</w:t>
            </w:r>
            <w:r w:rsidRPr="00943E94">
              <w:rPr>
                <w:rFonts w:ascii="TimesNewRoman" w:hAnsi="宋体"/>
                <w:sz w:val="24"/>
              </w:rPr>
              <w:t>年</w:t>
            </w:r>
            <w:r w:rsidR="00F019FE">
              <w:rPr>
                <w:rFonts w:ascii="TimesNewRoman" w:hAnsi="TimesNewRoman" w:hint="eastAsia"/>
                <w:sz w:val="24"/>
              </w:rPr>
              <w:t>1</w:t>
            </w:r>
            <w:r w:rsidRPr="00943E94">
              <w:rPr>
                <w:rFonts w:ascii="TimesNewRoman" w:hAnsi="宋体"/>
                <w:sz w:val="24"/>
              </w:rPr>
              <w:t>月</w:t>
            </w:r>
            <w:r w:rsidR="004401A3">
              <w:rPr>
                <w:rFonts w:ascii="TimesNewRoman" w:hAnsi="TimesNewRoman" w:hint="eastAsia"/>
                <w:sz w:val="24"/>
              </w:rPr>
              <w:t>1</w:t>
            </w:r>
            <w:r w:rsidR="00EC1D56">
              <w:rPr>
                <w:rFonts w:ascii="TimesNewRoman" w:hAnsi="TimesNewRoman"/>
                <w:sz w:val="24"/>
              </w:rPr>
              <w:t>1</w:t>
            </w:r>
            <w:r w:rsidRPr="00943E94">
              <w:rPr>
                <w:rFonts w:ascii="TimesNewRoman" w:hAnsi="宋体"/>
                <w:sz w:val="24"/>
              </w:rPr>
              <w:t>日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</w:t>
            </w:r>
            <w:r w:rsidR="00EC1D56">
              <w:rPr>
                <w:rFonts w:ascii="TimesNewRoman" w:hAnsi="TimesNewRoman"/>
                <w:sz w:val="24"/>
              </w:rPr>
              <w:t>9</w:t>
            </w:r>
            <w:r w:rsidR="00EC1D56">
              <w:rPr>
                <w:rFonts w:ascii="TimesNewRoman" w:hAnsi="TimesNewRoman" w:hint="eastAsia"/>
                <w:sz w:val="24"/>
              </w:rPr>
              <w:t>:</w:t>
            </w:r>
            <w:r w:rsidR="00EC1D56">
              <w:rPr>
                <w:rFonts w:ascii="TimesNewRoman" w:hAnsi="TimesNewRoman"/>
                <w:sz w:val="24"/>
              </w:rPr>
              <w:t>30-11</w:t>
            </w:r>
            <w:r w:rsidR="00EC1D56">
              <w:rPr>
                <w:rFonts w:ascii="TimesNewRoman" w:hAnsi="TimesNewRoman" w:hint="eastAsia"/>
                <w:sz w:val="24"/>
              </w:rPr>
              <w:t>:</w:t>
            </w:r>
            <w:r w:rsidR="00EC1D56">
              <w:rPr>
                <w:rFonts w:ascii="TimesNewRoman" w:hAnsi="TimesNewRoman"/>
                <w:sz w:val="24"/>
              </w:rPr>
              <w:t>30</w:t>
            </w:r>
          </w:p>
        </w:tc>
      </w:tr>
      <w:tr w:rsidR="00D3704D" w:rsidRPr="00943E94" w:rsidTr="008004CB">
        <w:trPr>
          <w:trHeight w:val="380"/>
        </w:trPr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6614" w:type="dxa"/>
            <w:gridSpan w:val="2"/>
          </w:tcPr>
          <w:p w:rsidR="00D3704D" w:rsidRPr="00943E94" w:rsidRDefault="00EC1D56" w:rsidP="008004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宋体" w:hint="eastAsia"/>
                <w:sz w:val="24"/>
              </w:rPr>
              <w:t>公司福永总部</w:t>
            </w:r>
            <w:r>
              <w:rPr>
                <w:rFonts w:ascii="TimesNewRoman" w:hAnsi="TimesNewRoman"/>
                <w:sz w:val="24"/>
              </w:rPr>
              <w:t>3</w:t>
            </w:r>
            <w:r w:rsidRPr="00943E94">
              <w:rPr>
                <w:rFonts w:ascii="TimesNewRoman" w:hAnsi="宋体" w:hint="eastAsia"/>
                <w:sz w:val="24"/>
              </w:rPr>
              <w:t>楼会议室</w:t>
            </w:r>
          </w:p>
        </w:tc>
      </w:tr>
      <w:tr w:rsidR="00D3704D" w:rsidRPr="00943E94" w:rsidTr="008004CB">
        <w:tc>
          <w:tcPr>
            <w:tcW w:w="1908" w:type="dxa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6614" w:type="dxa"/>
            <w:gridSpan w:val="2"/>
          </w:tcPr>
          <w:p w:rsidR="008B460B" w:rsidRDefault="00B559A3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雷迪奥销售总监郭彬女士</w:t>
            </w:r>
          </w:p>
          <w:p w:rsidR="008B460B" w:rsidRDefault="00B559A3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显示</w:t>
            </w:r>
            <w:r w:rsidRPr="004401A3">
              <w:rPr>
                <w:rFonts w:ascii="TimesNewRoman" w:hAnsi="宋体" w:hint="eastAsia"/>
                <w:sz w:val="24"/>
              </w:rPr>
              <w:t>事业部</w:t>
            </w:r>
            <w:r>
              <w:rPr>
                <w:rFonts w:ascii="TimesNewRoman" w:hAnsi="宋体" w:hint="eastAsia"/>
                <w:sz w:val="24"/>
              </w:rPr>
              <w:t>国内销售总监艾志华</w:t>
            </w:r>
            <w:r w:rsidRPr="004401A3">
              <w:rPr>
                <w:rFonts w:ascii="TimesNewRoman" w:hAnsi="宋体" w:hint="eastAsia"/>
                <w:sz w:val="24"/>
              </w:rPr>
              <w:t>先生</w:t>
            </w:r>
          </w:p>
          <w:p w:rsidR="00F019FE" w:rsidRPr="00F019FE" w:rsidRDefault="004401A3" w:rsidP="008004CB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4401A3">
              <w:rPr>
                <w:rFonts w:ascii="TimesNewRoman" w:hAnsi="宋体" w:hint="eastAsia"/>
                <w:sz w:val="24"/>
              </w:rPr>
              <w:t>董秘徐朋</w:t>
            </w:r>
            <w:r w:rsidR="00EC1D56">
              <w:rPr>
                <w:rFonts w:ascii="TimesNewRoman" w:hAnsi="宋体" w:hint="eastAsia"/>
                <w:sz w:val="24"/>
              </w:rPr>
              <w:t>先生</w:t>
            </w:r>
          </w:p>
        </w:tc>
      </w:tr>
      <w:tr w:rsidR="00D3704D" w:rsidRPr="00943E94" w:rsidTr="008004CB">
        <w:trPr>
          <w:trHeight w:val="699"/>
        </w:trPr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14" w:type="dxa"/>
            <w:gridSpan w:val="2"/>
            <w:vAlign w:val="center"/>
          </w:tcPr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（一）</w:t>
            </w:r>
            <w:r w:rsidR="009C50BB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雷迪奥销售总监郭彬女士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简要介绍</w:t>
            </w:r>
            <w:r w:rsidR="009C50BB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雷迪奥公司</w:t>
            </w: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  <w:p w:rsidR="002932A1" w:rsidRDefault="002932A1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深圳市雷迪奥</w:t>
            </w:r>
            <w:r w:rsid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视觉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技术有限公司</w:t>
            </w:r>
            <w:r w:rsid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（以下简称“雷迪奥”）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成立于2006年，是一家自主研发</w:t>
            </w:r>
            <w:r w:rsid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生产</w:t>
            </w:r>
            <w:r w:rsid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销售LED舞台显示设备及创意类LED显示屏的专业制造商。</w:t>
            </w:r>
            <w:r w:rsid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雷迪奥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专注于研发生产超轻、超薄、简洁、通透</w:t>
            </w:r>
            <w:r w:rsidR="008B460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可变柔性结构</w:t>
            </w:r>
            <w:r w:rsidR="008B460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能实现多种创意组合的LED</w:t>
            </w:r>
            <w:r w:rsidR="00EF3B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显示屏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，广泛应用于全球各大舞台、展览展示、创意显示、特殊工程项目等，致力成为全球最专业的创意型LED</w:t>
            </w:r>
            <w:r w:rsidRPr="002932A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显示系统方案供应商。</w:t>
            </w:r>
          </w:p>
          <w:p w:rsidR="00FF11B5" w:rsidRDefault="00FF11B5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1</w:t>
            </w:r>
            <w:r w:rsidR="00EF3B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年来，雷迪奥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心无旁骛、精益求精，以匠人精神将LED租赁类显示屏及创意类显示屏做到了细分领域的极致，成为中国第一个同时获得德国红点奖、德国IF金奖、日本G-Mark奖</w:t>
            </w:r>
            <w:r w:rsidR="00EF3B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、美国IDEA奖、红星奖金奖、亚洲最具影响力设计金奖6项大奖的企业</w:t>
            </w:r>
            <w:r w:rsidR="00DB0B8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雷迪奥基于对市场敏感的研判</w:t>
            </w:r>
            <w:r w:rsidR="008B460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在研发和设计上持续的投入</w:t>
            </w:r>
            <w:r w:rsidR="008B460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严格把控生产工艺流程</w:t>
            </w:r>
            <w:r w:rsidR="008B460B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对产品质量近乎苛刻的要求是其能持续保持稳定增长的</w:t>
            </w:r>
            <w:r w:rsid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重要因素</w:t>
            </w:r>
            <w:r w:rsidR="00EF3B7D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；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卓越的创新观念、独特的产品设计是雷迪奥能成为LED租赁类及创意类显示屏佼佼者的核心竞争力。</w:t>
            </w:r>
          </w:p>
          <w:p w:rsidR="002932A1" w:rsidRDefault="00FF11B5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未来，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雷迪奥将在产品上往更小间距、更高密度、更轻薄、更灵活的方式设计、应用及推广，以满足客户的需求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，并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继续借助上市公司的平台优势，坚定不移的向舞台演艺综合性解决方案供应商转型，通过参股、外延并购的方式往创意视频内容制作、舞台控制系统、舞台机械、舞台灯光、AR/VR等领域进行纵深式的探索及</w:t>
            </w:r>
            <w:r w:rsidR="009D0B5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布局</w:t>
            </w:r>
            <w:r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，以此打造完整、可持续的高端视觉领域生态链。</w:t>
            </w:r>
          </w:p>
          <w:p w:rsidR="005C1B38" w:rsidRPr="004401A3" w:rsidRDefault="00EF3B7D" w:rsidP="005C1B3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（二）洲明科技显示事业部国内销售总监艾志华先生简要介绍母公司</w:t>
            </w:r>
            <w:r w:rsidR="005C1B38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显示屏业务情况</w:t>
            </w:r>
          </w:p>
          <w:p w:rsidR="005C1B38" w:rsidRDefault="005C1B38" w:rsidP="005C1B3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017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，洲明科技紧紧把握</w:t>
            </w:r>
            <w:r w:rsid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小间距L</w:t>
            </w:r>
            <w:r w:rsidR="00256CBC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ED</w:t>
            </w:r>
            <w:r w:rsid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发展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的机遇，顺势而为</w:t>
            </w:r>
            <w:r w:rsid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，实现了业绩的快速增长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。从产品研发、市场拓展、营销展示、售后服务等四个环节全方位为客户提供服务，增强公司在大项目上的核心竞争力。</w:t>
            </w:r>
          </w:p>
          <w:p w:rsidR="00256CBC" w:rsidRDefault="00256CBC" w:rsidP="005C1B3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为满足LED小间距市场如火如荼的订单的需求，大亚湾二期厂房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已</w:t>
            </w:r>
            <w:r w:rsidRP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于2017年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256CBC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开工，公司致力于将其打造成全球最大的LED显示“智”造基地，届时将实现物流自动化、生产自动化、信息自动化，在效率和成本上，做到全球领先，从工业3.0升级到工业4.0。建成后，公司小间距产能将进一步提升。</w:t>
            </w:r>
          </w:p>
          <w:p w:rsidR="005C1B38" w:rsidRPr="005C1B38" w:rsidRDefault="005C1B38" w:rsidP="005C1B3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未来，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除了不断升级</w:t>
            </w:r>
            <w:r w:rsidR="00FB739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推出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更贴近用户的产品外，公司在大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屏互动、大屏可视化、大屏数据监测、精准营销等应用领域也</w:t>
            </w:r>
            <w:r w:rsidR="00FB739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将</w:t>
            </w:r>
            <w:r w:rsidRPr="005C1B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不断进行探索，相信长期的研发投入及技术积累定能带来LED显示屏又一次的技术变革。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256CBC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）投资者提出的主要问题及公司回复情况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公司就投资者在本次</w:t>
            </w:r>
            <w:r w:rsidR="00DB0B8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会议</w:t>
            </w: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上提出的普遍关心问题进行了回复，具体如下：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 w:rsidR="00256CBC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公司2</w:t>
            </w:r>
            <w:r w:rsidR="00256CBC"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017</w:t>
            </w:r>
            <w:r w:rsidR="00256CBC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年的业绩情况如何</w:t>
            </w:r>
            <w:r w:rsidR="00B90BC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4401A3" w:rsidRDefault="004401A3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 w:rsid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公司已于1月1</w:t>
            </w:r>
            <w:r w:rsidR="00BB7D88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0</w:t>
            </w:r>
            <w:r w:rsid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号发布业绩预告，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预计2017年度营业收入约为30亿元，同比增长约70%，归属于上市公司股东的净利润2.85亿</w:t>
            </w:r>
            <w:r w:rsidR="00BB7D88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-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3.15亿元，同比增长71.22%</w:t>
            </w:r>
            <w:r w:rsidR="00BB7D88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-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89.24%。2017年，公司把握市场需求，扩大产能，突破产品供给瓶颈</w:t>
            </w:r>
            <w:r w:rsidR="00DB0B8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推进国内外渠道升级，助力显示屏业务的全面增长。全资子公司雷迪奥加强海外布局投入，核心产品进行升级换代，拓展了海外市场份额及应用场景，销售收入取得较大增长。</w:t>
            </w:r>
            <w:r w:rsidR="00DB0B87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公司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预计非经常性损益对净利润的影响金额约为1,700万元，汇兑损失约为3,700万元</w:t>
            </w:r>
            <w:r w:rsid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BB7D88" w:rsidRPr="00BB7D8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对归属于上市公司股东的净利润产生了一定的影响。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="00E62CC4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目前，小间距L</w:t>
            </w:r>
            <w:r w:rsidR="00E62CC4"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  <w:t>ED</w:t>
            </w:r>
            <w:r w:rsidR="00E62CC4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的主要应用场景开始向商用市场渗透，公司在商用领域是如何布局的</w:t>
            </w: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4401A3" w:rsidRPr="00E62CC4" w:rsidRDefault="004401A3" w:rsidP="004401A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 w:rsidR="00E62CC4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目前小间距已有应用在高端零售商店、视频会议、展览展会、教育等领域的案例。未来，随着芯片技术及封装技术的进一步提升，LED小间距</w:t>
            </w:r>
            <w:bookmarkStart w:id="0" w:name="_GoBack"/>
            <w:bookmarkEnd w:id="0"/>
            <w:r w:rsidR="00E62CC4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显示屏的点间距有望进一步突破，且在AR/VR、裸眼3D</w:t>
            </w:r>
            <w:r w:rsidR="00871A26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等热门技术结合的应用下，有望</w:t>
            </w:r>
            <w:r w:rsidR="00FB739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开启</w:t>
            </w:r>
            <w:r w:rsidR="00E62CC4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110寸以上大屏幕高端家用电视、影院、放映厅等领域。公司也一直在密切关注</w:t>
            </w:r>
            <w:r w:rsid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相关产品的</w:t>
            </w:r>
            <w:r w:rsidR="00E62CC4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新技术和新工艺的发展趋势,通过引进国内外高端技术人才、组建专业的研发团队等方式不断提升研发水平，</w:t>
            </w:r>
            <w:r w:rsidR="00281C8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做好产品储备，</w:t>
            </w:r>
            <w:r w:rsidR="00E62CC4" w:rsidRPr="00E62CC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持续保持行业领先地位。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3、公司</w:t>
            </w:r>
            <w:r w:rsidR="00474CEB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先后</w:t>
            </w:r>
            <w:r w:rsidR="00D20834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收购了几家景观照明的公司，为什么会选择进入景观照明的市场</w:t>
            </w: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？</w:t>
            </w:r>
          </w:p>
          <w:p w:rsidR="004401A3" w:rsidRDefault="004401A3" w:rsidP="00FE669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回复：</w:t>
            </w:r>
            <w:r w:rsid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首先，景观亮化是</w:t>
            </w:r>
            <w:r w:rsidR="00D20834"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体现城市文化、内容最快、最有效果、成本最少的方式之一，直接感官好，</w:t>
            </w:r>
            <w:r w:rsid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全国各个城市都有景观照明项目的需求，具有广阔的</w:t>
            </w:r>
            <w:r w:rsidR="00D20834"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市场空间</w:t>
            </w:r>
            <w:r w:rsid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；</w:t>
            </w:r>
            <w:r w:rsidR="000649C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其次，</w:t>
            </w:r>
            <w:r w:rsid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目前市场上</w:t>
            </w:r>
            <w:r w:rsidR="00D20834"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景观照明与显示屏相结合的情形越来越多，未来照明与显示屏统一打包的业务是发展趋势，公司在LED显示方面具有领先优势，布局景观照明未来能与显示</w:t>
            </w:r>
            <w:r w:rsidR="00FB739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业务</w:t>
            </w:r>
            <w:r w:rsidR="00D20834" w:rsidRP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协同发展。</w:t>
            </w:r>
          </w:p>
          <w:p w:rsidR="004401A3" w:rsidRPr="004401A3" w:rsidRDefault="004401A3" w:rsidP="004401A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4、</w:t>
            </w:r>
            <w:r w:rsidR="00D20834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24"/>
                <w:szCs w:val="24"/>
              </w:rPr>
              <w:t>请问雷迪奥未来的发展战略是什么？</w:t>
            </w:r>
          </w:p>
          <w:p w:rsidR="00812B86" w:rsidRDefault="004401A3" w:rsidP="009D0B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4401A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回复：</w:t>
            </w:r>
            <w:r w:rsidR="00D2083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从显示屏的竞争格局来看，雷迪奥处于产品市场金字塔的顶端，与全球顶级租赁商建立了相当稳定的长期合作伙伴关系，在舞台租赁领域拥有极强的品牌辨识度和品牌影响力。未来，雷迪奥将坚持研发卓越的产品，追求极致的用户体验，适时向海外租赁市场推出最新产品。</w:t>
            </w:r>
            <w:r w:rsidR="009D0B5E"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通过参股、外延并购的方式向舞台演艺综合性解决方案供应商转型，往创意视频内容制作、舞台控制系统、舞台机械、舞台灯光、AR/VR等领域进行纵深式的探索及</w:t>
            </w:r>
            <w:r w:rsidR="009D0B5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布局</w:t>
            </w:r>
            <w:r w:rsidR="009D0B5E" w:rsidRPr="00FF11B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  <w:szCs w:val="24"/>
              </w:rPr>
              <w:t>，以此打造完整、可持续的高端视觉领域生态链。</w:t>
            </w:r>
          </w:p>
          <w:p w:rsidR="009D0B5E" w:rsidRPr="0014748C" w:rsidRDefault="009D0B5E" w:rsidP="009D0B5E">
            <w:pPr>
              <w:spacing w:line="360" w:lineRule="auto"/>
              <w:ind w:firstLineChars="200" w:firstLine="480"/>
              <w:rPr>
                <w:rFonts w:ascii="TimesNewRoman"/>
                <w:sz w:val="24"/>
                <w:szCs w:val="24"/>
              </w:rPr>
            </w:pPr>
          </w:p>
          <w:p w:rsidR="00D3704D" w:rsidRPr="00943E94" w:rsidRDefault="00D3704D" w:rsidP="00A30CC8">
            <w:pPr>
              <w:spacing w:line="360" w:lineRule="auto"/>
              <w:ind w:firstLineChars="200" w:firstLine="480"/>
              <w:jc w:val="lef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int="eastAsia"/>
                <w:sz w:val="24"/>
                <w:szCs w:val="24"/>
              </w:rPr>
              <w:t>接待过程中，公司接待人员与投资者进行了充分的交流与沟通，严格按照有关制度规定，没有出现未公开重大信息泄露等情况，同时已按深交所要求签署调研《承诺书》。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宋体" w:hint="eastAsia"/>
                <w:sz w:val="24"/>
                <w:szCs w:val="24"/>
              </w:rPr>
              <w:t>无</w:t>
            </w:r>
          </w:p>
        </w:tc>
      </w:tr>
      <w:tr w:rsidR="00D3704D" w:rsidRPr="00943E94" w:rsidTr="008004CB">
        <w:tc>
          <w:tcPr>
            <w:tcW w:w="1908" w:type="dxa"/>
            <w:vAlign w:val="center"/>
          </w:tcPr>
          <w:p w:rsidR="00D3704D" w:rsidRPr="00943E94" w:rsidRDefault="00D3704D" w:rsidP="008004CB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6614" w:type="dxa"/>
            <w:gridSpan w:val="2"/>
          </w:tcPr>
          <w:p w:rsidR="00D3704D" w:rsidRPr="00943E94" w:rsidRDefault="00D3704D" w:rsidP="004401A3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943E94">
              <w:rPr>
                <w:rFonts w:ascii="TimesNewRoman" w:hAnsi="TimesNewRoman" w:hint="eastAsia"/>
                <w:sz w:val="24"/>
                <w:szCs w:val="24"/>
              </w:rPr>
              <w:t>201</w:t>
            </w:r>
            <w:r w:rsidR="009D0B5E">
              <w:rPr>
                <w:rFonts w:ascii="TimesNewRoman" w:hAnsi="TimesNewRoman"/>
                <w:sz w:val="24"/>
                <w:szCs w:val="24"/>
              </w:rPr>
              <w:t>8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年</w:t>
            </w:r>
            <w:r w:rsidR="00CE3A25">
              <w:rPr>
                <w:rFonts w:ascii="TimesNewRoman" w:hAnsi="TimesNewRoman" w:hint="eastAsia"/>
                <w:sz w:val="24"/>
                <w:szCs w:val="24"/>
              </w:rPr>
              <w:t>1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月</w:t>
            </w:r>
            <w:r w:rsidR="0014748C">
              <w:rPr>
                <w:rFonts w:ascii="TimesNewRoman" w:hAnsi="TimesNewRoman" w:hint="eastAsia"/>
                <w:sz w:val="24"/>
                <w:szCs w:val="24"/>
              </w:rPr>
              <w:t>1</w:t>
            </w:r>
            <w:r w:rsidR="006D59F1">
              <w:rPr>
                <w:rFonts w:ascii="TimesNewRoman" w:hAnsi="TimesNewRoman"/>
                <w:sz w:val="24"/>
                <w:szCs w:val="24"/>
              </w:rPr>
              <w:t>2</w:t>
            </w:r>
            <w:r w:rsidRPr="00943E94">
              <w:rPr>
                <w:rFonts w:ascii="TimesNewRoman" w:hAnsi="宋体" w:hint="eastAsia"/>
                <w:sz w:val="24"/>
                <w:szCs w:val="24"/>
              </w:rPr>
              <w:t>日</w:t>
            </w:r>
          </w:p>
        </w:tc>
      </w:tr>
    </w:tbl>
    <w:p w:rsidR="00D3704D" w:rsidRPr="00943E94" w:rsidRDefault="00D3704D" w:rsidP="00D3704D">
      <w:pPr>
        <w:rPr>
          <w:rFonts w:ascii="TimesNewRoman" w:hAnsi="TimesNewRoman" w:hint="eastAsia"/>
        </w:rPr>
      </w:pPr>
    </w:p>
    <w:p w:rsidR="00D3704D" w:rsidRPr="00943E94" w:rsidRDefault="00D3704D" w:rsidP="00D3704D">
      <w:pPr>
        <w:rPr>
          <w:rFonts w:ascii="TimesNewRoman" w:hAnsi="TimesNewRoman" w:hint="eastAsia"/>
        </w:rPr>
      </w:pPr>
    </w:p>
    <w:p w:rsidR="00E80235" w:rsidRPr="00943E94" w:rsidRDefault="00E80235">
      <w:pPr>
        <w:rPr>
          <w:rFonts w:ascii="TimesNewRoman" w:hAnsi="TimesNewRoman" w:hint="eastAsia"/>
        </w:rPr>
      </w:pPr>
    </w:p>
    <w:sectPr w:rsidR="00E80235" w:rsidRPr="00943E94" w:rsidSect="007A2EB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A28" w:rsidRDefault="00B11A28" w:rsidP="00D3704D">
      <w:r>
        <w:separator/>
      </w:r>
    </w:p>
  </w:endnote>
  <w:endnote w:type="continuationSeparator" w:id="0">
    <w:p w:rsidR="00B11A28" w:rsidRDefault="00B11A28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A28" w:rsidRDefault="00B11A28" w:rsidP="00D3704D">
      <w:r>
        <w:separator/>
      </w:r>
    </w:p>
  </w:footnote>
  <w:footnote w:type="continuationSeparator" w:id="0">
    <w:p w:rsidR="00B11A28" w:rsidRDefault="00B11A28" w:rsidP="00D3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4D"/>
    <w:rsid w:val="0001134B"/>
    <w:rsid w:val="00016D7C"/>
    <w:rsid w:val="00041BD6"/>
    <w:rsid w:val="00045A41"/>
    <w:rsid w:val="000649C3"/>
    <w:rsid w:val="000846EC"/>
    <w:rsid w:val="000963FF"/>
    <w:rsid w:val="000D0E7C"/>
    <w:rsid w:val="00100FB7"/>
    <w:rsid w:val="001254C0"/>
    <w:rsid w:val="00136249"/>
    <w:rsid w:val="00136A3B"/>
    <w:rsid w:val="00140353"/>
    <w:rsid w:val="0014748C"/>
    <w:rsid w:val="0018028C"/>
    <w:rsid w:val="001828EB"/>
    <w:rsid w:val="001A5A36"/>
    <w:rsid w:val="001C6DC4"/>
    <w:rsid w:val="002137E2"/>
    <w:rsid w:val="002264AA"/>
    <w:rsid w:val="00241ED6"/>
    <w:rsid w:val="00246516"/>
    <w:rsid w:val="00256CBC"/>
    <w:rsid w:val="002633B7"/>
    <w:rsid w:val="00281C82"/>
    <w:rsid w:val="002910E9"/>
    <w:rsid w:val="002932A1"/>
    <w:rsid w:val="002A5EDA"/>
    <w:rsid w:val="002C249C"/>
    <w:rsid w:val="00337761"/>
    <w:rsid w:val="00366D14"/>
    <w:rsid w:val="00370EE6"/>
    <w:rsid w:val="003C23EA"/>
    <w:rsid w:val="003D0B0D"/>
    <w:rsid w:val="003E6CF9"/>
    <w:rsid w:val="003F018A"/>
    <w:rsid w:val="00416724"/>
    <w:rsid w:val="00421CAC"/>
    <w:rsid w:val="00422D27"/>
    <w:rsid w:val="004401A3"/>
    <w:rsid w:val="004422C1"/>
    <w:rsid w:val="0044659F"/>
    <w:rsid w:val="004511AD"/>
    <w:rsid w:val="0046364D"/>
    <w:rsid w:val="00474CEB"/>
    <w:rsid w:val="004A0EBC"/>
    <w:rsid w:val="004C4573"/>
    <w:rsid w:val="004F3751"/>
    <w:rsid w:val="00502D46"/>
    <w:rsid w:val="00511DA7"/>
    <w:rsid w:val="005341CB"/>
    <w:rsid w:val="005B5582"/>
    <w:rsid w:val="005C1B38"/>
    <w:rsid w:val="005E11B8"/>
    <w:rsid w:val="00691AD0"/>
    <w:rsid w:val="006D42A9"/>
    <w:rsid w:val="006D59F1"/>
    <w:rsid w:val="006E18AA"/>
    <w:rsid w:val="006F05CE"/>
    <w:rsid w:val="006F3FA6"/>
    <w:rsid w:val="0070033E"/>
    <w:rsid w:val="00727C04"/>
    <w:rsid w:val="0076447D"/>
    <w:rsid w:val="007B76EC"/>
    <w:rsid w:val="007E49F6"/>
    <w:rsid w:val="00812B86"/>
    <w:rsid w:val="00822259"/>
    <w:rsid w:val="00825D5E"/>
    <w:rsid w:val="00847AFF"/>
    <w:rsid w:val="00871A26"/>
    <w:rsid w:val="00883D42"/>
    <w:rsid w:val="008B460B"/>
    <w:rsid w:val="008E1538"/>
    <w:rsid w:val="008E2BFB"/>
    <w:rsid w:val="008E76FF"/>
    <w:rsid w:val="009027BF"/>
    <w:rsid w:val="00932A6C"/>
    <w:rsid w:val="00941380"/>
    <w:rsid w:val="00943E94"/>
    <w:rsid w:val="0095733F"/>
    <w:rsid w:val="009B1061"/>
    <w:rsid w:val="009C0B5A"/>
    <w:rsid w:val="009C50BB"/>
    <w:rsid w:val="009D0B5E"/>
    <w:rsid w:val="009D11B8"/>
    <w:rsid w:val="009D5F85"/>
    <w:rsid w:val="00A11C23"/>
    <w:rsid w:val="00A30CC8"/>
    <w:rsid w:val="00A7584E"/>
    <w:rsid w:val="00A92AD4"/>
    <w:rsid w:val="00AB6086"/>
    <w:rsid w:val="00AD4C75"/>
    <w:rsid w:val="00AE7FF6"/>
    <w:rsid w:val="00B00CDE"/>
    <w:rsid w:val="00B11A28"/>
    <w:rsid w:val="00B246C1"/>
    <w:rsid w:val="00B37BD0"/>
    <w:rsid w:val="00B37DDB"/>
    <w:rsid w:val="00B40F71"/>
    <w:rsid w:val="00B559A3"/>
    <w:rsid w:val="00B85DA8"/>
    <w:rsid w:val="00B90BC3"/>
    <w:rsid w:val="00BB7D88"/>
    <w:rsid w:val="00BC7406"/>
    <w:rsid w:val="00C25D36"/>
    <w:rsid w:val="00C30B8F"/>
    <w:rsid w:val="00C35433"/>
    <w:rsid w:val="00C64189"/>
    <w:rsid w:val="00CA6204"/>
    <w:rsid w:val="00CA774D"/>
    <w:rsid w:val="00CD03F9"/>
    <w:rsid w:val="00CE3A25"/>
    <w:rsid w:val="00CE3BE3"/>
    <w:rsid w:val="00D20834"/>
    <w:rsid w:val="00D21866"/>
    <w:rsid w:val="00D3704D"/>
    <w:rsid w:val="00D66C56"/>
    <w:rsid w:val="00D934AE"/>
    <w:rsid w:val="00DA2DE9"/>
    <w:rsid w:val="00DB0B87"/>
    <w:rsid w:val="00DC3E35"/>
    <w:rsid w:val="00DE1483"/>
    <w:rsid w:val="00E23AE5"/>
    <w:rsid w:val="00E425C7"/>
    <w:rsid w:val="00E542BE"/>
    <w:rsid w:val="00E62CC4"/>
    <w:rsid w:val="00E80235"/>
    <w:rsid w:val="00E83A63"/>
    <w:rsid w:val="00EC1D56"/>
    <w:rsid w:val="00EE62D5"/>
    <w:rsid w:val="00EF3B7D"/>
    <w:rsid w:val="00F019FE"/>
    <w:rsid w:val="00F10609"/>
    <w:rsid w:val="00F22C6B"/>
    <w:rsid w:val="00F22E84"/>
    <w:rsid w:val="00F32670"/>
    <w:rsid w:val="00F575CB"/>
    <w:rsid w:val="00F67693"/>
    <w:rsid w:val="00F8703D"/>
    <w:rsid w:val="00F91AFD"/>
    <w:rsid w:val="00FB20BD"/>
    <w:rsid w:val="00FB739E"/>
    <w:rsid w:val="00FE669E"/>
    <w:rsid w:val="00FF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2FC9B"/>
  <w15:docId w15:val="{D346DE6D-110B-4CE5-88E6-279ABB6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yuanyuzhu</dc:creator>
  <cp:lastModifiedBy>陈偲</cp:lastModifiedBy>
  <cp:revision>2</cp:revision>
  <dcterms:created xsi:type="dcterms:W3CDTF">2018-01-12T11:17:00Z</dcterms:created>
  <dcterms:modified xsi:type="dcterms:W3CDTF">2018-01-12T11:17:00Z</dcterms:modified>
</cp:coreProperties>
</file>