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04D" w:rsidRPr="00943E94" w:rsidRDefault="00D3704D" w:rsidP="00190C9D">
      <w:pPr>
        <w:spacing w:beforeLines="50" w:before="156" w:afterLines="50" w:after="156" w:line="400" w:lineRule="exact"/>
        <w:rPr>
          <w:rFonts w:ascii="TimesNewRoman" w:hAnsi="TimesNewRoman" w:hint="eastAsia"/>
          <w:sz w:val="24"/>
        </w:rPr>
      </w:pPr>
      <w:r w:rsidRPr="00943E94">
        <w:rPr>
          <w:rFonts w:ascii="TimesNewRoman" w:hAnsi="宋体" w:hint="eastAsia"/>
          <w:sz w:val="24"/>
        </w:rPr>
        <w:t>证券代码：</w:t>
      </w:r>
      <w:r w:rsidRPr="00943E94">
        <w:rPr>
          <w:rFonts w:ascii="TimesNewRoman" w:hAnsi="TimesNewRoman" w:hint="eastAsia"/>
          <w:sz w:val="24"/>
        </w:rPr>
        <w:t xml:space="preserve">300232                                </w:t>
      </w:r>
      <w:r w:rsidRPr="00943E94">
        <w:rPr>
          <w:rFonts w:ascii="TimesNewRoman" w:hAnsi="宋体" w:hint="eastAsia"/>
          <w:sz w:val="24"/>
        </w:rPr>
        <w:t>证券简称：洲明科技</w:t>
      </w:r>
      <w:r w:rsidRPr="00943E94">
        <w:rPr>
          <w:rFonts w:ascii="TimesNewRoman" w:hAnsi="TimesNewRoman" w:hint="eastAsia"/>
          <w:sz w:val="24"/>
        </w:rPr>
        <w:t xml:space="preserve"> </w:t>
      </w:r>
    </w:p>
    <w:p w:rsidR="00D3704D" w:rsidRPr="00943E94" w:rsidRDefault="00E83A63" w:rsidP="00190C9D">
      <w:pPr>
        <w:spacing w:beforeLines="100" w:before="312" w:afterLines="100" w:after="312" w:line="400" w:lineRule="exact"/>
        <w:jc w:val="center"/>
        <w:rPr>
          <w:rFonts w:ascii="TimesNewRoman" w:hAnsi="TimesNewRoman" w:hint="eastAsia"/>
          <w:b/>
          <w:sz w:val="32"/>
          <w:szCs w:val="32"/>
        </w:rPr>
      </w:pPr>
      <w:r>
        <w:rPr>
          <w:rFonts w:ascii="TimesNewRoman" w:hAnsi="宋体" w:hint="eastAsia"/>
          <w:b/>
          <w:sz w:val="32"/>
          <w:szCs w:val="32"/>
        </w:rPr>
        <w:t>深圳市洲明科技股份有限公司投资者关系活动记录表（</w:t>
      </w:r>
      <w:r w:rsidR="00A32FD9">
        <w:rPr>
          <w:rFonts w:ascii="TimesNewRoman" w:hAnsi="宋体" w:hint="eastAsia"/>
          <w:b/>
          <w:sz w:val="32"/>
          <w:szCs w:val="32"/>
        </w:rPr>
        <w:t>二</w:t>
      </w:r>
      <w:r w:rsidR="00D3704D" w:rsidRPr="00943E94">
        <w:rPr>
          <w:rFonts w:ascii="TimesNewRoman" w:hAnsi="宋体" w:hint="eastAsia"/>
          <w:b/>
          <w:sz w:val="32"/>
          <w:szCs w:val="32"/>
        </w:rPr>
        <w:t>）</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Pr="00943E94">
        <w:rPr>
          <w:rFonts w:ascii="TimesNewRoman" w:hAnsi="宋体" w:hint="eastAsia"/>
          <w:sz w:val="24"/>
        </w:rPr>
        <w:t>编号：</w:t>
      </w:r>
      <w:r w:rsidR="006F3FA6">
        <w:rPr>
          <w:rFonts w:ascii="TimesNewRoman" w:hAnsi="TimesNewRoman" w:hint="eastAsia"/>
          <w:sz w:val="24"/>
        </w:rPr>
        <w:t>201</w:t>
      </w:r>
      <w:r w:rsidR="00EC1D56">
        <w:rPr>
          <w:rFonts w:ascii="TimesNewRoman" w:hAnsi="TimesNewRoman"/>
          <w:sz w:val="24"/>
        </w:rPr>
        <w:t>8</w:t>
      </w:r>
      <w:r w:rsidR="006F3FA6">
        <w:rPr>
          <w:rFonts w:ascii="TimesNewRoman" w:hAnsi="TimesNewRoman" w:hint="eastAsia"/>
          <w:sz w:val="24"/>
        </w:rPr>
        <w:t>-00</w:t>
      </w:r>
      <w:r w:rsidR="00A32FD9">
        <w:rPr>
          <w:rFonts w:ascii="TimesNewRoman" w:hAnsi="TimesNewRoman"/>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07"/>
        <w:gridCol w:w="3307"/>
      </w:tblGrid>
      <w:tr w:rsidR="00D3704D" w:rsidRPr="00943E94" w:rsidTr="008B460B">
        <w:trPr>
          <w:trHeight w:val="2555"/>
        </w:trPr>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投资者关系活动类别</w:t>
            </w:r>
          </w:p>
          <w:p w:rsidR="00D3704D" w:rsidRPr="00943E94" w:rsidRDefault="00D3704D" w:rsidP="008004CB">
            <w:pPr>
              <w:spacing w:line="480" w:lineRule="atLeast"/>
              <w:rPr>
                <w:rFonts w:ascii="TimesNewRoman" w:hAnsi="TimesNewRoman" w:hint="eastAsia"/>
                <w:b/>
                <w:sz w:val="24"/>
              </w:rPr>
            </w:pPr>
          </w:p>
        </w:tc>
        <w:tc>
          <w:tcPr>
            <w:tcW w:w="6614" w:type="dxa"/>
            <w:gridSpan w:val="2"/>
            <w:tcBorders>
              <w:bottom w:val="single" w:sz="4" w:space="0" w:color="auto"/>
            </w:tcBorders>
          </w:tcPr>
          <w:p w:rsidR="00D3704D" w:rsidRPr="00943E94" w:rsidRDefault="00337761" w:rsidP="008004CB">
            <w:pPr>
              <w:spacing w:line="480" w:lineRule="atLeast"/>
              <w:rPr>
                <w:rFonts w:ascii="TimesNewRoman" w:hAnsi="TimesNewRoman" w:hint="eastAsia"/>
                <w:sz w:val="24"/>
              </w:rPr>
            </w:pPr>
            <w:r w:rsidRPr="00943E94">
              <w:rPr>
                <w:rFonts w:ascii="TimesNewRoman" w:hAnsi="TimesNewRoman" w:hint="eastAsia"/>
                <w:bCs/>
                <w:iCs/>
                <w:color w:val="000000"/>
                <w:sz w:val="24"/>
              </w:rPr>
              <w:t>■</w:t>
            </w:r>
            <w:r w:rsidR="00D3704D" w:rsidRPr="00943E94">
              <w:rPr>
                <w:rFonts w:ascii="TimesNewRoman" w:hAnsi="宋体" w:hint="eastAsia"/>
                <w:sz w:val="24"/>
              </w:rPr>
              <w:t>特定对象调研</w:t>
            </w:r>
            <w:r>
              <w:rPr>
                <w:rFonts w:ascii="TimesNewRoman" w:hAnsi="TimesNewRoman" w:hint="eastAsia"/>
                <w:sz w:val="24"/>
              </w:rPr>
              <w:t xml:space="preserve">      </w:t>
            </w:r>
            <w:r w:rsidR="006F3FA6">
              <w:rPr>
                <w:rFonts w:ascii="TimesNewRoman" w:hAnsi="TimesNewRoman" w:hint="eastAsia"/>
                <w:sz w:val="24"/>
              </w:rPr>
              <w:t xml:space="preserve">  </w:t>
            </w:r>
            <w:r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8004CB">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利润说明会</w:t>
            </w:r>
          </w:p>
          <w:p w:rsidR="00D3704D" w:rsidRPr="00943E94" w:rsidRDefault="00D3704D" w:rsidP="008004CB">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A32FD9" w:rsidP="008004CB">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现场参观</w:t>
            </w:r>
            <w:r w:rsidR="00D3704D" w:rsidRPr="00943E94">
              <w:rPr>
                <w:rFonts w:ascii="TimesNewRoman" w:hAnsi="TimesNewRoman"/>
                <w:sz w:val="24"/>
              </w:rPr>
              <w:tab/>
            </w:r>
          </w:p>
          <w:p w:rsidR="00D3704D" w:rsidRPr="00943E94" w:rsidRDefault="00D3704D" w:rsidP="008004CB">
            <w:pPr>
              <w:tabs>
                <w:tab w:val="center" w:pos="3199"/>
              </w:tabs>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其他</w:t>
            </w:r>
            <w:r w:rsidRPr="00943E94">
              <w:rPr>
                <w:rFonts w:ascii="TimesNewRoman" w:hAnsi="TimesNewRoman" w:hint="eastAsia"/>
                <w:sz w:val="24"/>
              </w:rPr>
              <w:t xml:space="preserve">  </w:t>
            </w:r>
          </w:p>
        </w:tc>
      </w:tr>
      <w:tr w:rsidR="008B460B" w:rsidRPr="00943E94" w:rsidTr="008B460B">
        <w:trPr>
          <w:trHeight w:val="957"/>
        </w:trPr>
        <w:tc>
          <w:tcPr>
            <w:tcW w:w="1908" w:type="dxa"/>
          </w:tcPr>
          <w:p w:rsidR="008B460B" w:rsidRPr="00943E94" w:rsidRDefault="008B460B" w:rsidP="004401A3">
            <w:pPr>
              <w:spacing w:line="480" w:lineRule="atLeast"/>
              <w:rPr>
                <w:rFonts w:ascii="TimesNewRoman" w:hAnsi="TimesNewRoman" w:hint="eastAsia"/>
                <w:b/>
                <w:sz w:val="24"/>
              </w:rPr>
            </w:pPr>
            <w:r w:rsidRPr="00943E94">
              <w:rPr>
                <w:rFonts w:ascii="TimesNewRoman" w:hAnsi="宋体" w:hint="eastAsia"/>
                <w:b/>
                <w:sz w:val="24"/>
              </w:rPr>
              <w:t>参与单位名称</w:t>
            </w:r>
          </w:p>
        </w:tc>
        <w:tc>
          <w:tcPr>
            <w:tcW w:w="3307" w:type="dxa"/>
            <w:tcBorders>
              <w:right w:val="nil"/>
            </w:tcBorders>
          </w:tcPr>
          <w:p w:rsidR="008B460B" w:rsidRDefault="008B460B"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安信</w:t>
            </w:r>
            <w:r w:rsidR="00A32FD9">
              <w:rPr>
                <w:rFonts w:ascii="TimesNewRoman" w:eastAsiaTheme="minorEastAsia" w:hAnsi="TimesNewRoman" w:cs="Arial" w:hint="eastAsia"/>
                <w:color w:val="000000"/>
                <w:kern w:val="0"/>
                <w:sz w:val="24"/>
                <w:szCs w:val="24"/>
              </w:rPr>
              <w:t>证券</w:t>
            </w:r>
            <w:r>
              <w:rPr>
                <w:rFonts w:ascii="TimesNewRoman" w:eastAsiaTheme="minorEastAsia" w:hAnsi="TimesNewRoman" w:cs="Arial" w:hint="eastAsia"/>
                <w:color w:val="000000"/>
                <w:kern w:val="0"/>
                <w:sz w:val="24"/>
                <w:szCs w:val="24"/>
              </w:rPr>
              <w:t>：</w:t>
            </w:r>
            <w:r w:rsidR="00A32FD9">
              <w:rPr>
                <w:rFonts w:ascii="TimesNewRoman" w:eastAsiaTheme="minorEastAsia" w:hAnsi="TimesNewRoman" w:cs="Arial" w:hint="eastAsia"/>
                <w:color w:val="000000"/>
                <w:kern w:val="0"/>
                <w:sz w:val="24"/>
                <w:szCs w:val="24"/>
              </w:rPr>
              <w:t>张大印</w:t>
            </w:r>
          </w:p>
          <w:p w:rsidR="008B460B"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和美投资：孙玮</w:t>
            </w:r>
          </w:p>
          <w:p w:rsidR="00A32FD9"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金域投资：杨皓</w:t>
            </w:r>
          </w:p>
          <w:p w:rsidR="00A32FD9"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正享投资：甘欧阳</w:t>
            </w:r>
          </w:p>
          <w:p w:rsidR="00A32FD9"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源乘投资：胡亚男</w:t>
            </w:r>
          </w:p>
          <w:p w:rsidR="00A32FD9"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正享投资：齐贺龙</w:t>
            </w:r>
          </w:p>
          <w:p w:rsidR="00A32FD9" w:rsidRDefault="00A14371"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智诚海威资产：卢君</w:t>
            </w:r>
          </w:p>
          <w:p w:rsidR="00A32FD9"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清水源投资：程宇楠</w:t>
            </w:r>
          </w:p>
          <w:p w:rsidR="00A32FD9" w:rsidRDefault="00A32FD9"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大数长胜：宋阳</w:t>
            </w:r>
          </w:p>
          <w:p w:rsidR="00820EE8" w:rsidRPr="00246516" w:rsidRDefault="00820EE8" w:rsidP="00246516">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华银资管：高张乾</w:t>
            </w:r>
          </w:p>
        </w:tc>
        <w:tc>
          <w:tcPr>
            <w:tcW w:w="3307" w:type="dxa"/>
            <w:tcBorders>
              <w:left w:val="nil"/>
            </w:tcBorders>
          </w:tcPr>
          <w:p w:rsidR="00A32FD9" w:rsidRDefault="00A14371"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鑫智汇诚</w:t>
            </w:r>
            <w:r w:rsidR="00A32FD9">
              <w:rPr>
                <w:rFonts w:ascii="TimesNewRoman" w:eastAsiaTheme="minorEastAsia" w:hAnsi="TimesNewRoman" w:cs="Arial" w:hint="eastAsia"/>
                <w:color w:val="000000"/>
                <w:kern w:val="0"/>
                <w:sz w:val="24"/>
                <w:szCs w:val="24"/>
              </w:rPr>
              <w:t>：田思雨</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天风证券：许明</w:t>
            </w:r>
            <w:r w:rsidR="00D51411">
              <w:rPr>
                <w:rFonts w:ascii="TimesNewRoman" w:eastAsiaTheme="minorEastAsia" w:hAnsi="TimesNewRoman" w:cs="Arial" w:hint="eastAsia"/>
                <w:color w:val="000000"/>
                <w:kern w:val="0"/>
                <w:sz w:val="24"/>
                <w:szCs w:val="24"/>
              </w:rPr>
              <w:t>星</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天风证券：毕宇</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瑞信方正</w:t>
            </w:r>
            <w:r w:rsidR="00C24E17">
              <w:rPr>
                <w:rFonts w:ascii="TimesNewRoman" w:eastAsiaTheme="minorEastAsia" w:hAnsi="TimesNewRoman" w:cs="Arial" w:hint="eastAsia"/>
                <w:color w:val="000000"/>
                <w:kern w:val="0"/>
                <w:sz w:val="24"/>
                <w:szCs w:val="24"/>
              </w:rPr>
              <w:t>证券</w:t>
            </w:r>
            <w:r>
              <w:rPr>
                <w:rFonts w:ascii="TimesNewRoman" w:eastAsiaTheme="minorEastAsia" w:hAnsi="TimesNewRoman" w:cs="Arial" w:hint="eastAsia"/>
                <w:color w:val="000000"/>
                <w:kern w:val="0"/>
                <w:sz w:val="24"/>
                <w:szCs w:val="24"/>
              </w:rPr>
              <w:t>：孙</w:t>
            </w:r>
            <w:r w:rsidR="00D51411">
              <w:rPr>
                <w:rFonts w:ascii="TimesNewRoman" w:eastAsiaTheme="minorEastAsia" w:hAnsi="TimesNewRoman" w:cs="Arial" w:hint="eastAsia"/>
                <w:color w:val="000000"/>
                <w:kern w:val="0"/>
                <w:sz w:val="24"/>
                <w:szCs w:val="24"/>
              </w:rPr>
              <w:t>志洁</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旭达基金：褚</w:t>
            </w:r>
            <w:r w:rsidR="00D51411">
              <w:rPr>
                <w:rFonts w:ascii="TimesNewRoman" w:eastAsiaTheme="minorEastAsia" w:hAnsi="TimesNewRoman" w:cs="Arial" w:hint="eastAsia"/>
                <w:color w:val="000000"/>
                <w:kern w:val="0"/>
                <w:sz w:val="24"/>
                <w:szCs w:val="24"/>
              </w:rPr>
              <w:t>建强</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富果投资：黄亨</w:t>
            </w:r>
            <w:r w:rsidR="00D51411">
              <w:rPr>
                <w:rFonts w:ascii="TimesNewRoman" w:eastAsiaTheme="minorEastAsia" w:hAnsi="TimesNewRoman" w:cs="Arial" w:hint="eastAsia"/>
                <w:color w:val="000000"/>
                <w:kern w:val="0"/>
                <w:sz w:val="24"/>
                <w:szCs w:val="24"/>
              </w:rPr>
              <w:t>丰</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前海和智：刘春茂</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得君资本：林珊珊</w:t>
            </w:r>
          </w:p>
          <w:p w:rsidR="00A32FD9" w:rsidRDefault="00A32FD9" w:rsidP="00A32FD9">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财富盛世：陈闯</w:t>
            </w:r>
          </w:p>
          <w:p w:rsidR="008B460B" w:rsidRPr="008B460B" w:rsidRDefault="008B460B" w:rsidP="00F6758C">
            <w:pPr>
              <w:spacing w:line="480" w:lineRule="atLeast"/>
              <w:jc w:val="left"/>
              <w:rPr>
                <w:rFonts w:ascii="TimesNewRoman" w:eastAsiaTheme="minorEastAsia" w:hAnsi="TimesNewRoman" w:cs="Arial" w:hint="eastAsia"/>
                <w:color w:val="000000"/>
                <w:kern w:val="0"/>
                <w:sz w:val="24"/>
                <w:szCs w:val="24"/>
              </w:rPr>
            </w:pPr>
          </w:p>
        </w:tc>
      </w:tr>
      <w:tr w:rsidR="00D3704D" w:rsidRPr="00943E94" w:rsidTr="008004CB">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时间</w:t>
            </w:r>
          </w:p>
        </w:tc>
        <w:tc>
          <w:tcPr>
            <w:tcW w:w="6614" w:type="dxa"/>
            <w:gridSpan w:val="2"/>
          </w:tcPr>
          <w:p w:rsidR="00D3704D" w:rsidRPr="00943E94" w:rsidRDefault="00D3704D" w:rsidP="004401A3">
            <w:pPr>
              <w:spacing w:line="480" w:lineRule="atLeast"/>
              <w:rPr>
                <w:rFonts w:ascii="TimesNewRoman" w:hAnsi="TimesNewRoman" w:hint="eastAsia"/>
                <w:sz w:val="24"/>
              </w:rPr>
            </w:pPr>
            <w:r w:rsidRPr="00943E94">
              <w:rPr>
                <w:rFonts w:ascii="TimesNewRoman" w:hAnsi="TimesNewRoman"/>
                <w:sz w:val="24"/>
              </w:rPr>
              <w:t>201</w:t>
            </w:r>
            <w:r w:rsidR="00EC1D56">
              <w:rPr>
                <w:rFonts w:ascii="TimesNewRoman" w:hAnsi="TimesNewRoman"/>
                <w:sz w:val="24"/>
              </w:rPr>
              <w:t>8</w:t>
            </w:r>
            <w:r w:rsidRPr="00943E94">
              <w:rPr>
                <w:rFonts w:ascii="TimesNewRoman" w:hAnsi="宋体"/>
                <w:sz w:val="24"/>
              </w:rPr>
              <w:t>年</w:t>
            </w:r>
            <w:r w:rsidR="00F019FE">
              <w:rPr>
                <w:rFonts w:ascii="TimesNewRoman" w:hAnsi="TimesNewRoman" w:hint="eastAsia"/>
                <w:sz w:val="24"/>
              </w:rPr>
              <w:t>1</w:t>
            </w:r>
            <w:r w:rsidRPr="00943E94">
              <w:rPr>
                <w:rFonts w:ascii="TimesNewRoman" w:hAnsi="宋体"/>
                <w:sz w:val="24"/>
              </w:rPr>
              <w:t>月</w:t>
            </w:r>
            <w:r w:rsidR="00E52E41">
              <w:rPr>
                <w:rFonts w:ascii="TimesNewRoman" w:hAnsi="TimesNewRoman"/>
                <w:sz w:val="24"/>
              </w:rPr>
              <w:t>29</w:t>
            </w:r>
            <w:r w:rsidRPr="00943E94">
              <w:rPr>
                <w:rFonts w:ascii="TimesNewRoman" w:hAnsi="宋体"/>
                <w:sz w:val="24"/>
              </w:rPr>
              <w:t>日</w:t>
            </w:r>
            <w:r w:rsidRPr="00943E94">
              <w:rPr>
                <w:rFonts w:ascii="TimesNewRoman" w:hAnsi="TimesNewRoman" w:hint="eastAsia"/>
                <w:sz w:val="24"/>
              </w:rPr>
              <w:t xml:space="preserve"> </w:t>
            </w:r>
            <w:r w:rsidR="00E52E41">
              <w:rPr>
                <w:rFonts w:ascii="TimesNewRoman" w:hAnsi="TimesNewRoman"/>
                <w:sz w:val="24"/>
              </w:rPr>
              <w:t>10</w:t>
            </w:r>
            <w:r w:rsidR="00EC1D56">
              <w:rPr>
                <w:rFonts w:ascii="TimesNewRoman" w:hAnsi="TimesNewRoman" w:hint="eastAsia"/>
                <w:sz w:val="24"/>
              </w:rPr>
              <w:t>:</w:t>
            </w:r>
            <w:r w:rsidR="00E52E41">
              <w:rPr>
                <w:rFonts w:ascii="TimesNewRoman" w:hAnsi="TimesNewRoman"/>
                <w:sz w:val="24"/>
              </w:rPr>
              <w:t>00</w:t>
            </w:r>
            <w:r w:rsidR="00EC1D56">
              <w:rPr>
                <w:rFonts w:ascii="TimesNewRoman" w:hAnsi="TimesNewRoman"/>
                <w:sz w:val="24"/>
              </w:rPr>
              <w:t>-1</w:t>
            </w:r>
            <w:r w:rsidR="00E52E41">
              <w:rPr>
                <w:rFonts w:ascii="TimesNewRoman" w:hAnsi="TimesNewRoman"/>
                <w:sz w:val="24"/>
              </w:rPr>
              <w:t>2</w:t>
            </w:r>
            <w:r w:rsidR="00EC1D56">
              <w:rPr>
                <w:rFonts w:ascii="TimesNewRoman" w:hAnsi="TimesNewRoman" w:hint="eastAsia"/>
                <w:sz w:val="24"/>
              </w:rPr>
              <w:t>:</w:t>
            </w:r>
            <w:r w:rsidR="00E52E41">
              <w:rPr>
                <w:rFonts w:ascii="TimesNewRoman" w:hAnsi="TimesNewRoman"/>
                <w:sz w:val="24"/>
              </w:rPr>
              <w:t>0</w:t>
            </w:r>
            <w:r w:rsidR="00EC1D56">
              <w:rPr>
                <w:rFonts w:ascii="TimesNewRoman" w:hAnsi="TimesNewRoman"/>
                <w:sz w:val="24"/>
              </w:rPr>
              <w:t>0</w:t>
            </w:r>
          </w:p>
        </w:tc>
      </w:tr>
      <w:tr w:rsidR="00D3704D" w:rsidRPr="00943E94" w:rsidTr="008004CB">
        <w:trPr>
          <w:trHeight w:val="380"/>
        </w:trPr>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地点</w:t>
            </w:r>
          </w:p>
        </w:tc>
        <w:tc>
          <w:tcPr>
            <w:tcW w:w="6614" w:type="dxa"/>
            <w:gridSpan w:val="2"/>
          </w:tcPr>
          <w:p w:rsidR="00D3704D" w:rsidRPr="00943E94" w:rsidRDefault="00EC1D56" w:rsidP="008004CB">
            <w:pPr>
              <w:spacing w:line="480" w:lineRule="atLeast"/>
              <w:rPr>
                <w:rFonts w:ascii="TimesNewRoman" w:hAnsi="TimesNewRoman" w:hint="eastAsia"/>
                <w:sz w:val="24"/>
              </w:rPr>
            </w:pPr>
            <w:r w:rsidRPr="00943E94">
              <w:rPr>
                <w:rFonts w:ascii="TimesNewRoman" w:hAnsi="宋体" w:hint="eastAsia"/>
                <w:sz w:val="24"/>
              </w:rPr>
              <w:t>公司福永总部</w:t>
            </w:r>
            <w:r w:rsidR="00C24E17">
              <w:rPr>
                <w:rFonts w:ascii="TimesNewRoman" w:hAnsi="TimesNewRoman"/>
                <w:sz w:val="24"/>
              </w:rPr>
              <w:t>4</w:t>
            </w:r>
            <w:r w:rsidRPr="00943E94">
              <w:rPr>
                <w:rFonts w:ascii="TimesNewRoman" w:hAnsi="宋体" w:hint="eastAsia"/>
                <w:sz w:val="24"/>
              </w:rPr>
              <w:t>楼会议室</w:t>
            </w:r>
          </w:p>
        </w:tc>
      </w:tr>
      <w:tr w:rsidR="00D3704D" w:rsidRPr="00943E94" w:rsidTr="008004CB">
        <w:tc>
          <w:tcPr>
            <w:tcW w:w="1908" w:type="dxa"/>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上市公司接待人员姓名</w:t>
            </w:r>
          </w:p>
        </w:tc>
        <w:tc>
          <w:tcPr>
            <w:tcW w:w="6614" w:type="dxa"/>
            <w:gridSpan w:val="2"/>
          </w:tcPr>
          <w:p w:rsidR="002C6D5F" w:rsidRDefault="00A14371" w:rsidP="008004CB">
            <w:pPr>
              <w:spacing w:line="480" w:lineRule="atLeast"/>
              <w:rPr>
                <w:rFonts w:ascii="TimesNewRoman" w:hAnsi="宋体"/>
                <w:sz w:val="24"/>
              </w:rPr>
            </w:pPr>
            <w:r>
              <w:rPr>
                <w:rFonts w:ascii="TimesNewRoman" w:hAnsi="宋体" w:hint="eastAsia"/>
                <w:sz w:val="24"/>
              </w:rPr>
              <w:t>董事会秘书</w:t>
            </w:r>
            <w:r w:rsidRPr="004401A3">
              <w:rPr>
                <w:rFonts w:ascii="TimesNewRoman" w:hAnsi="宋体" w:hint="eastAsia"/>
                <w:sz w:val="24"/>
              </w:rPr>
              <w:t>徐</w:t>
            </w:r>
            <w:r w:rsidR="004401A3" w:rsidRPr="004401A3">
              <w:rPr>
                <w:rFonts w:ascii="TimesNewRoman" w:hAnsi="宋体" w:hint="eastAsia"/>
                <w:sz w:val="24"/>
              </w:rPr>
              <w:t>朋</w:t>
            </w:r>
          </w:p>
          <w:p w:rsidR="002C6D5F" w:rsidRPr="00F019FE" w:rsidRDefault="002C6D5F" w:rsidP="008004CB">
            <w:pPr>
              <w:spacing w:line="480" w:lineRule="atLeast"/>
              <w:rPr>
                <w:rFonts w:ascii="TimesNewRoman" w:hAnsi="宋体"/>
                <w:sz w:val="24"/>
              </w:rPr>
            </w:pPr>
            <w:r>
              <w:rPr>
                <w:rFonts w:ascii="TimesNewRoman" w:hAnsi="宋体" w:hint="eastAsia"/>
                <w:sz w:val="24"/>
              </w:rPr>
              <w:t>证券事务专员陈珊</w:t>
            </w:r>
          </w:p>
        </w:tc>
      </w:tr>
      <w:tr w:rsidR="00D3704D" w:rsidRPr="00943E94" w:rsidTr="008004CB">
        <w:trPr>
          <w:trHeight w:val="699"/>
        </w:trPr>
        <w:tc>
          <w:tcPr>
            <w:tcW w:w="1908" w:type="dxa"/>
            <w:vAlign w:val="center"/>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投资者关系活动主要内容介绍</w:t>
            </w:r>
          </w:p>
        </w:tc>
        <w:tc>
          <w:tcPr>
            <w:tcW w:w="6614" w:type="dxa"/>
            <w:gridSpan w:val="2"/>
            <w:vAlign w:val="center"/>
          </w:tcPr>
          <w:p w:rsidR="00190C9D" w:rsidRDefault="00190C9D" w:rsidP="00190C9D">
            <w:pPr>
              <w:spacing w:line="360" w:lineRule="auto"/>
              <w:ind w:firstLineChars="200" w:firstLine="480"/>
              <w:rPr>
                <w:rFonts w:asciiTheme="minorEastAsia" w:eastAsiaTheme="minorEastAsia" w:hAnsiTheme="minorEastAsia" w:cs="Arial"/>
                <w:b/>
                <w:color w:val="000000"/>
                <w:kern w:val="0"/>
                <w:sz w:val="24"/>
                <w:szCs w:val="24"/>
              </w:rPr>
            </w:pPr>
            <w:r w:rsidRPr="008B1F6F">
              <w:rPr>
                <w:rFonts w:asciiTheme="minorEastAsia" w:eastAsiaTheme="minorEastAsia" w:hAnsiTheme="minorEastAsia" w:hint="eastAsia"/>
                <w:color w:val="000000" w:themeColor="text1"/>
                <w:sz w:val="24"/>
                <w:szCs w:val="24"/>
              </w:rPr>
              <w:t>本次投资者关系活动以会议</w:t>
            </w:r>
            <w:r>
              <w:rPr>
                <w:rFonts w:asciiTheme="minorEastAsia" w:eastAsiaTheme="minorEastAsia" w:hAnsiTheme="minorEastAsia" w:hint="eastAsia"/>
                <w:color w:val="000000" w:themeColor="text1"/>
                <w:sz w:val="24"/>
                <w:szCs w:val="24"/>
              </w:rPr>
              <w:t>交流</w:t>
            </w:r>
            <w:r w:rsidRPr="008B1F6F">
              <w:rPr>
                <w:rFonts w:asciiTheme="minorEastAsia" w:eastAsiaTheme="minorEastAsia" w:hAnsiTheme="minorEastAsia" w:hint="eastAsia"/>
                <w:color w:val="000000" w:themeColor="text1"/>
                <w:sz w:val="24"/>
                <w:szCs w:val="24"/>
              </w:rPr>
              <w:t>的方式进行，接待人员首先介绍了公司</w:t>
            </w:r>
            <w:r>
              <w:rPr>
                <w:rFonts w:asciiTheme="minorEastAsia" w:eastAsiaTheme="minorEastAsia" w:hAnsiTheme="minorEastAsia" w:hint="eastAsia"/>
                <w:color w:val="000000" w:themeColor="text1"/>
                <w:sz w:val="24"/>
                <w:szCs w:val="24"/>
              </w:rPr>
              <w:t>业务</w:t>
            </w:r>
            <w:r w:rsidRPr="008B1F6F">
              <w:rPr>
                <w:rFonts w:asciiTheme="minorEastAsia" w:eastAsiaTheme="minorEastAsia" w:hAnsiTheme="minorEastAsia" w:hint="eastAsia"/>
                <w:color w:val="000000" w:themeColor="text1"/>
                <w:sz w:val="24"/>
                <w:szCs w:val="24"/>
              </w:rPr>
              <w:t>及发展情况，随后与来访者进行了沟通交流，主要内容如下：</w:t>
            </w:r>
          </w:p>
          <w:p w:rsidR="00527737" w:rsidRPr="004401A3" w:rsidRDefault="00527737" w:rsidP="00527737">
            <w:pPr>
              <w:spacing w:line="360" w:lineRule="auto"/>
              <w:rPr>
                <w:rFonts w:asciiTheme="minorEastAsia" w:eastAsiaTheme="minorEastAsia" w:hAnsiTheme="minorEastAsia" w:cs="Arial"/>
                <w:b/>
                <w:color w:val="000000"/>
                <w:kern w:val="0"/>
                <w:sz w:val="24"/>
                <w:szCs w:val="24"/>
              </w:rPr>
            </w:pPr>
            <w:r>
              <w:rPr>
                <w:rFonts w:asciiTheme="minorEastAsia" w:eastAsiaTheme="minorEastAsia" w:hAnsiTheme="minorEastAsia" w:cs="Arial"/>
                <w:b/>
                <w:color w:val="000000"/>
                <w:kern w:val="0"/>
                <w:sz w:val="24"/>
                <w:szCs w:val="24"/>
              </w:rPr>
              <w:t>1</w:t>
            </w:r>
            <w:r w:rsidRPr="004401A3">
              <w:rPr>
                <w:rFonts w:asciiTheme="minorEastAsia" w:eastAsiaTheme="minorEastAsia" w:hAnsiTheme="minorEastAsia" w:cs="Arial" w:hint="eastAsia"/>
                <w:b/>
                <w:color w:val="000000"/>
                <w:kern w:val="0"/>
                <w:sz w:val="24"/>
                <w:szCs w:val="24"/>
              </w:rPr>
              <w:t>、公司</w:t>
            </w:r>
            <w:r>
              <w:rPr>
                <w:rFonts w:asciiTheme="minorEastAsia" w:eastAsiaTheme="minorEastAsia" w:hAnsiTheme="minorEastAsia" w:cs="Arial" w:hint="eastAsia"/>
                <w:b/>
                <w:color w:val="000000"/>
                <w:kern w:val="0"/>
                <w:sz w:val="24"/>
                <w:szCs w:val="24"/>
              </w:rPr>
              <w:t>先后收购了几家景观照明的公司，为什么会选择进入景观照明的市场</w:t>
            </w:r>
            <w:r w:rsidRPr="004401A3">
              <w:rPr>
                <w:rFonts w:asciiTheme="minorEastAsia" w:eastAsiaTheme="minorEastAsia" w:hAnsiTheme="minorEastAsia" w:cs="Arial" w:hint="eastAsia"/>
                <w:b/>
                <w:color w:val="000000"/>
                <w:kern w:val="0"/>
                <w:sz w:val="24"/>
                <w:szCs w:val="24"/>
              </w:rPr>
              <w:t>？</w:t>
            </w:r>
          </w:p>
          <w:p w:rsidR="00527737" w:rsidRDefault="00FA3B7E" w:rsidP="00FA3B7E">
            <w:pPr>
              <w:spacing w:line="360" w:lineRule="auto"/>
              <w:ind w:firstLineChars="200" w:firstLine="480"/>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lastRenderedPageBreak/>
              <w:t>回复</w:t>
            </w:r>
            <w:r w:rsidR="00527737" w:rsidRPr="004401A3">
              <w:rPr>
                <w:rFonts w:asciiTheme="minorEastAsia" w:eastAsiaTheme="minorEastAsia" w:hAnsiTheme="minorEastAsia" w:cs="Arial" w:hint="eastAsia"/>
                <w:color w:val="000000"/>
                <w:kern w:val="0"/>
                <w:sz w:val="24"/>
                <w:szCs w:val="24"/>
              </w:rPr>
              <w:t>：</w:t>
            </w:r>
            <w:r w:rsidR="00527737">
              <w:rPr>
                <w:rFonts w:asciiTheme="minorEastAsia" w:eastAsiaTheme="minorEastAsia" w:hAnsiTheme="minorEastAsia" w:cs="Arial" w:hint="eastAsia"/>
                <w:color w:val="000000"/>
                <w:kern w:val="0"/>
                <w:sz w:val="24"/>
                <w:szCs w:val="24"/>
              </w:rPr>
              <w:t>首先，</w:t>
            </w:r>
            <w:r w:rsidR="00F0509E" w:rsidRPr="00F0509E">
              <w:rPr>
                <w:rFonts w:asciiTheme="minorEastAsia" w:eastAsiaTheme="minorEastAsia" w:hAnsiTheme="minorEastAsia" w:cs="Arial" w:hint="eastAsia"/>
                <w:color w:val="000000"/>
                <w:kern w:val="0"/>
                <w:sz w:val="24"/>
                <w:szCs w:val="24"/>
              </w:rPr>
              <w:t>公司希望能平衡照明和显示两大业务</w:t>
            </w:r>
            <w:r w:rsidR="00F0509E">
              <w:rPr>
                <w:rFonts w:asciiTheme="minorEastAsia" w:eastAsiaTheme="minorEastAsia" w:hAnsiTheme="minorEastAsia" w:cs="Arial" w:hint="eastAsia"/>
                <w:color w:val="000000"/>
                <w:kern w:val="0"/>
                <w:sz w:val="24"/>
                <w:szCs w:val="24"/>
              </w:rPr>
              <w:t>；其次，</w:t>
            </w:r>
            <w:r w:rsidR="00F0509E" w:rsidRPr="00F0509E">
              <w:rPr>
                <w:rFonts w:asciiTheme="minorEastAsia" w:eastAsiaTheme="minorEastAsia" w:hAnsiTheme="minorEastAsia" w:cs="Arial" w:hint="eastAsia"/>
                <w:color w:val="000000"/>
                <w:kern w:val="0"/>
                <w:sz w:val="24"/>
                <w:szCs w:val="24"/>
              </w:rPr>
              <w:t>趋势所向</w:t>
            </w:r>
            <w:r w:rsidR="00F0509E">
              <w:rPr>
                <w:rFonts w:asciiTheme="minorEastAsia" w:eastAsiaTheme="minorEastAsia" w:hAnsiTheme="minorEastAsia" w:cs="Arial" w:hint="eastAsia"/>
                <w:color w:val="000000"/>
                <w:kern w:val="0"/>
                <w:sz w:val="24"/>
                <w:szCs w:val="24"/>
              </w:rPr>
              <w:t>，</w:t>
            </w:r>
            <w:r w:rsidR="00527737">
              <w:rPr>
                <w:rFonts w:asciiTheme="minorEastAsia" w:eastAsiaTheme="minorEastAsia" w:hAnsiTheme="minorEastAsia" w:cs="Arial" w:hint="eastAsia"/>
                <w:color w:val="000000"/>
                <w:kern w:val="0"/>
                <w:sz w:val="24"/>
                <w:szCs w:val="24"/>
              </w:rPr>
              <w:t>景观亮化是</w:t>
            </w:r>
            <w:r w:rsidR="00527737" w:rsidRPr="00D20834">
              <w:rPr>
                <w:rFonts w:asciiTheme="minorEastAsia" w:eastAsiaTheme="minorEastAsia" w:hAnsiTheme="minorEastAsia" w:cs="Arial" w:hint="eastAsia"/>
                <w:color w:val="000000"/>
                <w:kern w:val="0"/>
                <w:sz w:val="24"/>
                <w:szCs w:val="24"/>
              </w:rPr>
              <w:t>体现城市文化、内容最快、最有效果、成本最少的方式之一，直接感官好，</w:t>
            </w:r>
            <w:r w:rsidR="00527737">
              <w:rPr>
                <w:rFonts w:asciiTheme="minorEastAsia" w:eastAsiaTheme="minorEastAsia" w:hAnsiTheme="minorEastAsia" w:cs="Arial" w:hint="eastAsia"/>
                <w:color w:val="000000"/>
                <w:kern w:val="0"/>
                <w:sz w:val="24"/>
                <w:szCs w:val="24"/>
              </w:rPr>
              <w:t>全国各个城市都有景观照明项目的需求，具有广阔的</w:t>
            </w:r>
            <w:r w:rsidR="00527737" w:rsidRPr="00D20834">
              <w:rPr>
                <w:rFonts w:asciiTheme="minorEastAsia" w:eastAsiaTheme="minorEastAsia" w:hAnsiTheme="minorEastAsia" w:cs="Arial" w:hint="eastAsia"/>
                <w:color w:val="000000"/>
                <w:kern w:val="0"/>
                <w:sz w:val="24"/>
                <w:szCs w:val="24"/>
              </w:rPr>
              <w:t>市场空间</w:t>
            </w:r>
            <w:r w:rsidR="00F0509E">
              <w:rPr>
                <w:rFonts w:asciiTheme="minorEastAsia" w:eastAsiaTheme="minorEastAsia" w:hAnsiTheme="minorEastAsia" w:cs="Arial" w:hint="eastAsia"/>
                <w:color w:val="000000"/>
                <w:kern w:val="0"/>
                <w:sz w:val="24"/>
                <w:szCs w:val="24"/>
              </w:rPr>
              <w:t>；再者</w:t>
            </w:r>
            <w:r w:rsidR="00527737">
              <w:rPr>
                <w:rFonts w:asciiTheme="minorEastAsia" w:eastAsiaTheme="minorEastAsia" w:hAnsiTheme="minorEastAsia" w:cs="Arial" w:hint="eastAsia"/>
                <w:color w:val="000000"/>
                <w:kern w:val="0"/>
                <w:sz w:val="24"/>
                <w:szCs w:val="24"/>
              </w:rPr>
              <w:t>，目前市场上</w:t>
            </w:r>
            <w:r w:rsidR="00527737" w:rsidRPr="00D20834">
              <w:rPr>
                <w:rFonts w:asciiTheme="minorEastAsia" w:eastAsiaTheme="minorEastAsia" w:hAnsiTheme="minorEastAsia" w:cs="Arial" w:hint="eastAsia"/>
                <w:color w:val="000000"/>
                <w:kern w:val="0"/>
                <w:sz w:val="24"/>
                <w:szCs w:val="24"/>
              </w:rPr>
              <w:t>景观照明与显示屏相结合的情形越来越多，未来照明与显示屏统一打包的业务是发展趋势，公司在LED显示方面具有领先优势，布局景观照明未来能与显示</w:t>
            </w:r>
            <w:r w:rsidR="00527737">
              <w:rPr>
                <w:rFonts w:asciiTheme="minorEastAsia" w:eastAsiaTheme="minorEastAsia" w:hAnsiTheme="minorEastAsia" w:cs="Arial" w:hint="eastAsia"/>
                <w:color w:val="000000"/>
                <w:kern w:val="0"/>
                <w:sz w:val="24"/>
                <w:szCs w:val="24"/>
              </w:rPr>
              <w:t>业务</w:t>
            </w:r>
            <w:r w:rsidR="00527737" w:rsidRPr="00D20834">
              <w:rPr>
                <w:rFonts w:asciiTheme="minorEastAsia" w:eastAsiaTheme="minorEastAsia" w:hAnsiTheme="minorEastAsia" w:cs="Arial" w:hint="eastAsia"/>
                <w:color w:val="000000"/>
                <w:kern w:val="0"/>
                <w:sz w:val="24"/>
                <w:szCs w:val="24"/>
              </w:rPr>
              <w:t>协同发展。</w:t>
            </w:r>
          </w:p>
          <w:p w:rsidR="004401A3" w:rsidRPr="004401A3" w:rsidRDefault="00527737" w:rsidP="00605464">
            <w:pPr>
              <w:spacing w:line="360" w:lineRule="auto"/>
              <w:rPr>
                <w:rFonts w:asciiTheme="minorEastAsia" w:eastAsiaTheme="minorEastAsia" w:hAnsiTheme="minorEastAsia" w:cs="Arial"/>
                <w:b/>
                <w:color w:val="000000"/>
                <w:kern w:val="0"/>
                <w:sz w:val="24"/>
                <w:szCs w:val="24"/>
              </w:rPr>
            </w:pPr>
            <w:r>
              <w:rPr>
                <w:rFonts w:asciiTheme="minorEastAsia" w:eastAsiaTheme="minorEastAsia" w:hAnsiTheme="minorEastAsia" w:cs="Arial"/>
                <w:b/>
                <w:color w:val="000000"/>
                <w:kern w:val="0"/>
                <w:sz w:val="24"/>
                <w:szCs w:val="24"/>
              </w:rPr>
              <w:t>2</w:t>
            </w:r>
            <w:r w:rsidR="004401A3" w:rsidRPr="004401A3">
              <w:rPr>
                <w:rFonts w:asciiTheme="minorEastAsia" w:eastAsiaTheme="minorEastAsia" w:hAnsiTheme="minorEastAsia" w:cs="Arial" w:hint="eastAsia"/>
                <w:b/>
                <w:color w:val="000000"/>
                <w:kern w:val="0"/>
                <w:sz w:val="24"/>
                <w:szCs w:val="24"/>
              </w:rPr>
              <w:t>、</w:t>
            </w:r>
            <w:r w:rsidR="00686726">
              <w:rPr>
                <w:rFonts w:asciiTheme="minorEastAsia" w:eastAsiaTheme="minorEastAsia" w:hAnsiTheme="minorEastAsia" w:cs="Arial" w:hint="eastAsia"/>
                <w:b/>
                <w:color w:val="000000"/>
                <w:kern w:val="0"/>
                <w:sz w:val="24"/>
                <w:szCs w:val="24"/>
              </w:rPr>
              <w:t>请问公司2</w:t>
            </w:r>
            <w:r w:rsidR="00686726">
              <w:rPr>
                <w:rFonts w:asciiTheme="minorEastAsia" w:eastAsiaTheme="minorEastAsia" w:hAnsiTheme="minorEastAsia" w:cs="Arial"/>
                <w:b/>
                <w:color w:val="000000"/>
                <w:kern w:val="0"/>
                <w:sz w:val="24"/>
                <w:szCs w:val="24"/>
              </w:rPr>
              <w:t>017</w:t>
            </w:r>
            <w:r w:rsidR="00686726">
              <w:rPr>
                <w:rFonts w:asciiTheme="minorEastAsia" w:eastAsiaTheme="minorEastAsia" w:hAnsiTheme="minorEastAsia" w:cs="Arial" w:hint="eastAsia"/>
                <w:b/>
                <w:color w:val="000000"/>
                <w:kern w:val="0"/>
                <w:sz w:val="24"/>
                <w:szCs w:val="24"/>
              </w:rPr>
              <w:t>年收购的几个子公司的特点各是什么？</w:t>
            </w:r>
            <w:r>
              <w:rPr>
                <w:rFonts w:asciiTheme="minorEastAsia" w:eastAsiaTheme="minorEastAsia" w:hAnsiTheme="minorEastAsia" w:cs="Arial" w:hint="eastAsia"/>
                <w:b/>
                <w:color w:val="000000"/>
                <w:kern w:val="0"/>
                <w:sz w:val="24"/>
                <w:szCs w:val="24"/>
              </w:rPr>
              <w:t>洲明科技与新收购公司之间将如何产生协同效应？</w:t>
            </w:r>
          </w:p>
          <w:p w:rsidR="00527737" w:rsidRPr="00527737" w:rsidRDefault="004401A3" w:rsidP="00FA3B7E">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回复：</w:t>
            </w:r>
            <w:r w:rsidR="00527737" w:rsidRPr="00527737">
              <w:rPr>
                <w:rFonts w:asciiTheme="minorEastAsia" w:eastAsiaTheme="minorEastAsia" w:hAnsiTheme="minorEastAsia" w:cs="Arial" w:hint="eastAsia"/>
                <w:color w:val="000000"/>
                <w:kern w:val="0"/>
                <w:sz w:val="24"/>
                <w:szCs w:val="24"/>
              </w:rPr>
              <w:t>（1）杭州柏年集团创建于1996年，是专注于智能标识、智能导视、智能亮化、智能显示、智能控制等系统的开发、销售、服务的领先企业。投资杭州柏年，定位文创照明领先品牌。杭州柏年一直专注于显示屏标识标牌业务，客户群体覆盖轨道交通、能源油站、酒店、餐饮、金融机构等众多行业，可与公司当前的显示业务板块形成较好的协同效应，加强公司在标识标牌业务的布局。同时，杭州柏年近几年在景观照明业务方面已积累了一定品牌影响力和高端案例，成功服务于北京奥运会、上海世博会、世界500强品牌连锁企业、智慧城市轨道交通等，在楼宇建筑及山体景观照明业务具有优势。</w:t>
            </w:r>
          </w:p>
          <w:p w:rsidR="00527737" w:rsidRPr="00527737" w:rsidRDefault="00527737" w:rsidP="00A14371">
            <w:pPr>
              <w:spacing w:line="360" w:lineRule="auto"/>
              <w:ind w:firstLineChars="200" w:firstLine="480"/>
              <w:rPr>
                <w:rFonts w:asciiTheme="minorEastAsia" w:eastAsiaTheme="minorEastAsia" w:hAnsiTheme="minorEastAsia" w:cs="Arial"/>
                <w:color w:val="000000"/>
                <w:kern w:val="0"/>
                <w:sz w:val="24"/>
                <w:szCs w:val="24"/>
              </w:rPr>
            </w:pPr>
            <w:r w:rsidRPr="00527737">
              <w:rPr>
                <w:rFonts w:asciiTheme="minorEastAsia" w:eastAsiaTheme="minorEastAsia" w:hAnsiTheme="minorEastAsia" w:cs="Arial" w:hint="eastAsia"/>
                <w:color w:val="000000"/>
                <w:kern w:val="0"/>
                <w:sz w:val="24"/>
                <w:szCs w:val="24"/>
              </w:rPr>
              <w:t>（2）山东清华康利城市照明研究设计院有限公司是集城市景观照明规划、设计、工程施工和灯具研究开发为一体的专业性企业，是国内少数同时具有住建部城乡规划编制丙级资质、照明工程设计专项甲级资质、城市及道路照明工程专业承包壹级资质、壹级环境艺术设计甲级、环境艺术总承包壹级资质，兼城市规划、灯光设计、照明工程施工于一体的照明工程公司。</w:t>
            </w:r>
          </w:p>
          <w:p w:rsidR="00527737" w:rsidRPr="00527737" w:rsidRDefault="00527737" w:rsidP="00A14371">
            <w:pPr>
              <w:spacing w:line="360" w:lineRule="auto"/>
              <w:ind w:firstLineChars="200" w:firstLine="480"/>
              <w:rPr>
                <w:rFonts w:asciiTheme="minorEastAsia" w:eastAsiaTheme="minorEastAsia" w:hAnsiTheme="minorEastAsia" w:cs="Arial"/>
                <w:color w:val="000000"/>
                <w:kern w:val="0"/>
                <w:sz w:val="24"/>
                <w:szCs w:val="24"/>
              </w:rPr>
            </w:pPr>
            <w:r w:rsidRPr="00527737">
              <w:rPr>
                <w:rFonts w:asciiTheme="minorEastAsia" w:eastAsiaTheme="minorEastAsia" w:hAnsiTheme="minorEastAsia" w:cs="Arial" w:hint="eastAsia"/>
                <w:color w:val="000000"/>
                <w:kern w:val="0"/>
                <w:sz w:val="24"/>
                <w:szCs w:val="24"/>
              </w:rPr>
              <w:t>收购清华康利，定位城市景观照明的领先品牌，它与一般工程类照明公司相比，不仅具有施工能力，更具有设计能力，有利于促进洲明科技在景观城市文旅照明的布局，还能与公司</w:t>
            </w:r>
            <w:r w:rsidRPr="00527737">
              <w:rPr>
                <w:rFonts w:asciiTheme="minorEastAsia" w:eastAsiaTheme="minorEastAsia" w:hAnsiTheme="minorEastAsia" w:cs="Arial" w:hint="eastAsia"/>
                <w:color w:val="000000"/>
                <w:kern w:val="0"/>
                <w:sz w:val="24"/>
                <w:szCs w:val="24"/>
              </w:rPr>
              <w:lastRenderedPageBreak/>
              <w:t>现有的道路照明、智慧路灯和显示业务形成协同，增强公司的综合竞争力。</w:t>
            </w:r>
          </w:p>
          <w:p w:rsidR="00527737" w:rsidRPr="00527737" w:rsidRDefault="00527737" w:rsidP="00A14371">
            <w:pPr>
              <w:spacing w:line="360" w:lineRule="auto"/>
              <w:ind w:firstLineChars="200" w:firstLine="480"/>
              <w:rPr>
                <w:rFonts w:asciiTheme="minorEastAsia" w:eastAsiaTheme="minorEastAsia" w:hAnsiTheme="minorEastAsia" w:cs="Arial"/>
                <w:color w:val="000000"/>
                <w:kern w:val="0"/>
                <w:sz w:val="24"/>
                <w:szCs w:val="24"/>
              </w:rPr>
            </w:pPr>
            <w:r w:rsidRPr="00527737">
              <w:rPr>
                <w:rFonts w:asciiTheme="minorEastAsia" w:eastAsiaTheme="minorEastAsia" w:hAnsiTheme="minorEastAsia" w:cs="Arial" w:hint="eastAsia"/>
                <w:color w:val="000000"/>
                <w:kern w:val="0"/>
                <w:sz w:val="24"/>
                <w:szCs w:val="24"/>
              </w:rPr>
              <w:t>（3）东莞市爱加照明科技有限公司是一家集研发、生产、销售及提供照明解决方案与技术支持的专业建筑照明公司，爱加照明旗下2012年创立的VF Lighting 品牌是目前国内专业照明领域的领先品牌，在专业照明渠道具有较高的品牌美誉度，主要服务领域有星级酒店、高端公寓住宅和精装住宅、高端精品商城 Mall、高端写字楼、精品会所、美术馆、博物馆等。2017年，VF成为了与凯德集团唯一一个两年度进行合作的战略合作品牌，为凯德集团旗下高端住宅、雅诗阁公寓、高级酒店提供照明服务。</w:t>
            </w:r>
          </w:p>
          <w:p w:rsidR="00527737" w:rsidRPr="00527737" w:rsidRDefault="00527737" w:rsidP="00A14371">
            <w:pPr>
              <w:spacing w:line="360" w:lineRule="auto"/>
              <w:ind w:firstLineChars="200" w:firstLine="480"/>
              <w:rPr>
                <w:rFonts w:asciiTheme="minorEastAsia" w:eastAsiaTheme="minorEastAsia" w:hAnsiTheme="minorEastAsia" w:cs="Arial"/>
                <w:color w:val="000000"/>
                <w:kern w:val="0"/>
                <w:sz w:val="24"/>
                <w:szCs w:val="24"/>
              </w:rPr>
            </w:pPr>
            <w:r w:rsidRPr="00527737">
              <w:rPr>
                <w:rFonts w:asciiTheme="minorEastAsia" w:eastAsiaTheme="minorEastAsia" w:hAnsiTheme="minorEastAsia" w:cs="Arial" w:hint="eastAsia"/>
                <w:color w:val="000000"/>
                <w:kern w:val="0"/>
                <w:sz w:val="24"/>
                <w:szCs w:val="24"/>
              </w:rPr>
              <w:t>收购爱加照明，定位专业照明的领先品牌，是洲明科技进军高端商业照明的重要举措。洲明科技积极布局细分领域市场，完成产业链条高价值部分的生态整合，提升公司在专业照明领域的行业地位。</w:t>
            </w:r>
          </w:p>
          <w:p w:rsidR="00527737" w:rsidRPr="00527737" w:rsidRDefault="00527737" w:rsidP="00A14371">
            <w:pPr>
              <w:spacing w:line="360" w:lineRule="auto"/>
              <w:ind w:firstLineChars="200" w:firstLine="480"/>
              <w:rPr>
                <w:rFonts w:asciiTheme="minorEastAsia" w:eastAsiaTheme="minorEastAsia" w:hAnsiTheme="minorEastAsia" w:cs="Arial"/>
                <w:color w:val="000000"/>
                <w:kern w:val="0"/>
                <w:sz w:val="24"/>
                <w:szCs w:val="24"/>
              </w:rPr>
            </w:pPr>
            <w:r w:rsidRPr="00527737">
              <w:rPr>
                <w:rFonts w:asciiTheme="minorEastAsia" w:eastAsiaTheme="minorEastAsia" w:hAnsiTheme="minorEastAsia" w:cs="Arial" w:hint="eastAsia"/>
                <w:color w:val="000000"/>
                <w:kern w:val="0"/>
                <w:sz w:val="24"/>
                <w:szCs w:val="24"/>
              </w:rPr>
              <w:t>（4）深圳市蔷薇科技有限公司创立于2009年，主营产品有户外显示屏、LED灯条屏和LED格栅屏，主要为系统集成商、销售与工程公司、广告公司等各类应用企业提供专业的LED显示产品、系统技术方案及综合配套服务。</w:t>
            </w:r>
          </w:p>
          <w:p w:rsidR="004401A3" w:rsidRPr="00527737" w:rsidRDefault="00527737" w:rsidP="00A14371">
            <w:pPr>
              <w:spacing w:line="360" w:lineRule="auto"/>
              <w:ind w:firstLineChars="200" w:firstLine="480"/>
              <w:rPr>
                <w:rFonts w:asciiTheme="minorEastAsia" w:eastAsiaTheme="minorEastAsia" w:hAnsiTheme="minorEastAsia" w:cs="Arial"/>
                <w:color w:val="000000"/>
                <w:kern w:val="0"/>
                <w:sz w:val="24"/>
                <w:szCs w:val="24"/>
              </w:rPr>
            </w:pPr>
            <w:r w:rsidRPr="00527737">
              <w:rPr>
                <w:rFonts w:asciiTheme="minorEastAsia" w:eastAsiaTheme="minorEastAsia" w:hAnsiTheme="minorEastAsia" w:cs="Arial" w:hint="eastAsia"/>
                <w:color w:val="000000"/>
                <w:kern w:val="0"/>
                <w:sz w:val="24"/>
                <w:szCs w:val="24"/>
              </w:rPr>
              <w:t>收购蔷薇科技，定位城市景观显示的领先品牌，有利于洲明科技进一步加深在LED显示屏行业细分领域的布局，双方将在市场、供应链、管理等方面产生协同，有利于提高公司的综合竞争力，符合公司长远发展战略。</w:t>
            </w:r>
          </w:p>
          <w:p w:rsidR="004401A3" w:rsidRPr="004401A3" w:rsidRDefault="00527737" w:rsidP="00605464">
            <w:pPr>
              <w:spacing w:line="360" w:lineRule="auto"/>
              <w:rPr>
                <w:rFonts w:asciiTheme="minorEastAsia" w:eastAsiaTheme="minorEastAsia" w:hAnsiTheme="minorEastAsia" w:cs="Arial"/>
                <w:b/>
                <w:color w:val="000000"/>
                <w:kern w:val="0"/>
                <w:sz w:val="24"/>
                <w:szCs w:val="24"/>
              </w:rPr>
            </w:pPr>
            <w:r>
              <w:rPr>
                <w:rFonts w:asciiTheme="minorEastAsia" w:eastAsiaTheme="minorEastAsia" w:hAnsiTheme="minorEastAsia" w:cs="Arial"/>
                <w:b/>
                <w:color w:val="000000"/>
                <w:kern w:val="0"/>
                <w:sz w:val="24"/>
                <w:szCs w:val="24"/>
              </w:rPr>
              <w:t>3</w:t>
            </w:r>
            <w:r w:rsidR="004401A3" w:rsidRPr="004401A3">
              <w:rPr>
                <w:rFonts w:asciiTheme="minorEastAsia" w:eastAsiaTheme="minorEastAsia" w:hAnsiTheme="minorEastAsia" w:cs="Arial" w:hint="eastAsia"/>
                <w:b/>
                <w:color w:val="000000"/>
                <w:kern w:val="0"/>
                <w:sz w:val="24"/>
                <w:szCs w:val="24"/>
              </w:rPr>
              <w:t>、</w:t>
            </w:r>
            <w:r>
              <w:rPr>
                <w:rFonts w:asciiTheme="minorEastAsia" w:eastAsiaTheme="minorEastAsia" w:hAnsiTheme="minorEastAsia" w:cs="Arial" w:hint="eastAsia"/>
                <w:b/>
                <w:color w:val="000000"/>
                <w:kern w:val="0"/>
                <w:sz w:val="24"/>
                <w:szCs w:val="24"/>
              </w:rPr>
              <w:t>请问公司2</w:t>
            </w:r>
            <w:r>
              <w:rPr>
                <w:rFonts w:asciiTheme="minorEastAsia" w:eastAsiaTheme="minorEastAsia" w:hAnsiTheme="minorEastAsia" w:cs="Arial"/>
                <w:b/>
                <w:color w:val="000000"/>
                <w:kern w:val="0"/>
                <w:sz w:val="24"/>
                <w:szCs w:val="24"/>
              </w:rPr>
              <w:t>017</w:t>
            </w:r>
            <w:r>
              <w:rPr>
                <w:rFonts w:asciiTheme="minorEastAsia" w:eastAsiaTheme="minorEastAsia" w:hAnsiTheme="minorEastAsia" w:cs="Arial" w:hint="eastAsia"/>
                <w:b/>
                <w:color w:val="000000"/>
                <w:kern w:val="0"/>
                <w:sz w:val="24"/>
                <w:szCs w:val="24"/>
              </w:rPr>
              <w:t>年的汇兑损益怎么样？未来是否会做些套期保值</w:t>
            </w:r>
            <w:r w:rsidR="00935572">
              <w:rPr>
                <w:rFonts w:asciiTheme="minorEastAsia" w:eastAsiaTheme="minorEastAsia" w:hAnsiTheme="minorEastAsia" w:cs="Arial" w:hint="eastAsia"/>
                <w:b/>
                <w:color w:val="000000"/>
                <w:kern w:val="0"/>
                <w:sz w:val="24"/>
                <w:szCs w:val="24"/>
              </w:rPr>
              <w:t>？</w:t>
            </w:r>
            <w:bookmarkStart w:id="0" w:name="_GoBack"/>
            <w:bookmarkEnd w:id="0"/>
          </w:p>
          <w:p w:rsidR="00812B86" w:rsidRPr="004B1809" w:rsidRDefault="004401A3" w:rsidP="00FA3B7E">
            <w:pPr>
              <w:spacing w:line="360" w:lineRule="auto"/>
              <w:ind w:firstLineChars="200" w:firstLine="480"/>
              <w:rPr>
                <w:rFonts w:asciiTheme="minorEastAsia" w:eastAsiaTheme="minorEastAsia" w:hAnsiTheme="minorEastAsia" w:cs="Arial"/>
                <w:color w:val="000000"/>
                <w:kern w:val="0"/>
                <w:sz w:val="24"/>
                <w:szCs w:val="24"/>
              </w:rPr>
            </w:pPr>
            <w:r w:rsidRPr="004401A3">
              <w:rPr>
                <w:rFonts w:asciiTheme="minorEastAsia" w:eastAsiaTheme="minorEastAsia" w:hAnsiTheme="minorEastAsia" w:cs="Arial" w:hint="eastAsia"/>
                <w:color w:val="000000"/>
                <w:kern w:val="0"/>
                <w:sz w:val="24"/>
                <w:szCs w:val="24"/>
              </w:rPr>
              <w:t>回复：</w:t>
            </w:r>
            <w:r w:rsidR="004B1809">
              <w:rPr>
                <w:rFonts w:asciiTheme="minorEastAsia" w:eastAsiaTheme="minorEastAsia" w:hAnsiTheme="minorEastAsia" w:cs="Arial" w:hint="eastAsia"/>
                <w:color w:val="000000"/>
                <w:kern w:val="0"/>
                <w:sz w:val="24"/>
                <w:szCs w:val="24"/>
              </w:rPr>
              <w:t>公司在业绩预告中有披露，2</w:t>
            </w:r>
            <w:r w:rsidR="004B1809">
              <w:rPr>
                <w:rFonts w:asciiTheme="minorEastAsia" w:eastAsiaTheme="minorEastAsia" w:hAnsiTheme="minorEastAsia" w:cs="Arial"/>
                <w:color w:val="000000"/>
                <w:kern w:val="0"/>
                <w:sz w:val="24"/>
                <w:szCs w:val="24"/>
              </w:rPr>
              <w:t>017</w:t>
            </w:r>
            <w:r w:rsidR="004B1809">
              <w:rPr>
                <w:rFonts w:asciiTheme="minorEastAsia" w:eastAsiaTheme="minorEastAsia" w:hAnsiTheme="minorEastAsia" w:cs="Arial" w:hint="eastAsia"/>
                <w:color w:val="000000"/>
                <w:kern w:val="0"/>
                <w:sz w:val="24"/>
                <w:szCs w:val="24"/>
              </w:rPr>
              <w:t>年全年的汇兑损失约为3</w:t>
            </w:r>
            <w:r w:rsidR="004B1809">
              <w:rPr>
                <w:rFonts w:asciiTheme="minorEastAsia" w:eastAsiaTheme="minorEastAsia" w:hAnsiTheme="minorEastAsia" w:cs="Arial"/>
                <w:color w:val="000000"/>
                <w:kern w:val="0"/>
                <w:sz w:val="24"/>
                <w:szCs w:val="24"/>
              </w:rPr>
              <w:t>700</w:t>
            </w:r>
            <w:r w:rsidR="004B1809">
              <w:rPr>
                <w:rFonts w:asciiTheme="minorEastAsia" w:eastAsiaTheme="minorEastAsia" w:hAnsiTheme="minorEastAsia" w:cs="Arial" w:hint="eastAsia"/>
                <w:color w:val="000000"/>
                <w:kern w:val="0"/>
                <w:sz w:val="24"/>
                <w:szCs w:val="24"/>
              </w:rPr>
              <w:t>万元。公司认为</w:t>
            </w:r>
            <w:r w:rsidR="004B1809" w:rsidRPr="004B1809">
              <w:rPr>
                <w:rFonts w:asciiTheme="minorEastAsia" w:eastAsiaTheme="minorEastAsia" w:hAnsiTheme="minorEastAsia" w:cs="Arial" w:hint="eastAsia"/>
                <w:color w:val="000000"/>
                <w:kern w:val="0"/>
                <w:sz w:val="24"/>
                <w:szCs w:val="24"/>
              </w:rPr>
              <w:t>短期汇率存在较大的不确定性，但如果出现未来中长期相对稳定可预期的汇率趋势窗口，公司会适时采取规避汇率风险的措施。</w:t>
            </w:r>
          </w:p>
          <w:p w:rsidR="009D0B5E" w:rsidRPr="0009257F" w:rsidRDefault="0009257F" w:rsidP="0009257F">
            <w:pPr>
              <w:spacing w:line="360" w:lineRule="auto"/>
              <w:rPr>
                <w:rFonts w:asciiTheme="minorEastAsia" w:eastAsiaTheme="minorEastAsia" w:hAnsiTheme="minorEastAsia" w:cs="Arial"/>
                <w:b/>
                <w:color w:val="000000"/>
                <w:kern w:val="0"/>
                <w:sz w:val="24"/>
                <w:szCs w:val="24"/>
              </w:rPr>
            </w:pPr>
            <w:r w:rsidRPr="0009257F">
              <w:rPr>
                <w:rFonts w:asciiTheme="minorEastAsia" w:eastAsiaTheme="minorEastAsia" w:hAnsiTheme="minorEastAsia" w:cs="Arial" w:hint="eastAsia"/>
                <w:b/>
                <w:color w:val="000000"/>
                <w:kern w:val="0"/>
                <w:sz w:val="24"/>
                <w:szCs w:val="24"/>
              </w:rPr>
              <w:lastRenderedPageBreak/>
              <w:t>4、最近收了几个公司都是现金收购，工程项目现金流不是很好，以后会不会有现金压力？</w:t>
            </w:r>
          </w:p>
          <w:p w:rsidR="0009257F" w:rsidRDefault="0009257F" w:rsidP="00FA3B7E">
            <w:pPr>
              <w:spacing w:line="360" w:lineRule="auto"/>
              <w:ind w:firstLineChars="200" w:firstLine="480"/>
              <w:rPr>
                <w:rFonts w:ascii="TimesNewRoman"/>
                <w:sz w:val="24"/>
                <w:szCs w:val="24"/>
              </w:rPr>
            </w:pPr>
            <w:r>
              <w:rPr>
                <w:rFonts w:ascii="TimesNewRoman" w:hint="eastAsia"/>
                <w:sz w:val="24"/>
                <w:szCs w:val="24"/>
              </w:rPr>
              <w:t>回复：首先</w:t>
            </w:r>
            <w:r w:rsidRPr="0009257F">
              <w:rPr>
                <w:rFonts w:ascii="TimesNewRoman" w:hint="eastAsia"/>
                <w:sz w:val="24"/>
                <w:szCs w:val="24"/>
              </w:rPr>
              <w:t>，洲明一直是重视现金流的公司，显示屏业务在业内具有较强的品牌影响力，</w:t>
            </w:r>
            <w:r>
              <w:rPr>
                <w:rFonts w:ascii="TimesNewRoman" w:hint="eastAsia"/>
                <w:sz w:val="24"/>
                <w:szCs w:val="24"/>
              </w:rPr>
              <w:t>分销的业务模式使得公司</w:t>
            </w:r>
            <w:r w:rsidRPr="0009257F">
              <w:rPr>
                <w:rFonts w:ascii="TimesNewRoman" w:hint="eastAsia"/>
                <w:sz w:val="24"/>
                <w:szCs w:val="24"/>
              </w:rPr>
              <w:t>现金收款能力</w:t>
            </w:r>
            <w:r>
              <w:rPr>
                <w:rFonts w:ascii="TimesNewRoman" w:hint="eastAsia"/>
                <w:sz w:val="24"/>
                <w:szCs w:val="24"/>
              </w:rPr>
              <w:t>一直较为</w:t>
            </w:r>
            <w:r w:rsidRPr="0009257F">
              <w:rPr>
                <w:rFonts w:ascii="TimesNewRoman" w:hint="eastAsia"/>
                <w:sz w:val="24"/>
                <w:szCs w:val="24"/>
              </w:rPr>
              <w:t>良好。</w:t>
            </w:r>
            <w:r>
              <w:rPr>
                <w:rFonts w:ascii="TimesNewRoman" w:hint="eastAsia"/>
                <w:sz w:val="24"/>
                <w:szCs w:val="24"/>
              </w:rPr>
              <w:t>此外</w:t>
            </w:r>
            <w:r w:rsidRPr="0009257F">
              <w:rPr>
                <w:rFonts w:ascii="TimesNewRoman" w:hint="eastAsia"/>
                <w:sz w:val="24"/>
                <w:szCs w:val="24"/>
              </w:rPr>
              <w:t>，目前公司刚刚开始涉足景观照明业务，工程项目相对于传统销售确实会存在回款较慢的问题，但公司会综合运用多种方式合理管理现金流，在做项目筛选的时候就会着重注意挑选优质的</w:t>
            </w:r>
            <w:r w:rsidR="0023289C">
              <w:rPr>
                <w:rFonts w:ascii="TimesNewRoman" w:hint="eastAsia"/>
                <w:sz w:val="24"/>
                <w:szCs w:val="24"/>
              </w:rPr>
              <w:t>、已入库的</w:t>
            </w:r>
            <w:r w:rsidRPr="0009257F">
              <w:rPr>
                <w:rFonts w:ascii="TimesNewRoman" w:hint="eastAsia"/>
                <w:sz w:val="24"/>
                <w:szCs w:val="24"/>
              </w:rPr>
              <w:t>工程项目，通过前期的项目把关，综合评估甲方信用和项目综合情况。</w:t>
            </w:r>
          </w:p>
          <w:p w:rsidR="00F901D4" w:rsidRPr="0009257F" w:rsidRDefault="00F901D4" w:rsidP="00F901D4">
            <w:pPr>
              <w:spacing w:line="360" w:lineRule="auto"/>
              <w:rPr>
                <w:rFonts w:ascii="TimesNewRoman"/>
                <w:sz w:val="24"/>
                <w:szCs w:val="24"/>
              </w:rPr>
            </w:pPr>
          </w:p>
          <w:p w:rsidR="00D3704D" w:rsidRPr="00943E94" w:rsidRDefault="00D3704D" w:rsidP="00A30CC8">
            <w:pPr>
              <w:spacing w:line="360" w:lineRule="auto"/>
              <w:ind w:firstLineChars="200" w:firstLine="480"/>
              <w:jc w:val="left"/>
              <w:rPr>
                <w:rFonts w:ascii="TimesNewRoman" w:hAnsi="TimesNewRoman" w:hint="eastAsia"/>
                <w:sz w:val="24"/>
                <w:szCs w:val="24"/>
              </w:rPr>
            </w:pPr>
            <w:r w:rsidRPr="00943E94">
              <w:rPr>
                <w:rFonts w:ascii="TimesNewRoman" w:hint="eastAsia"/>
                <w:sz w:val="24"/>
                <w:szCs w:val="24"/>
              </w:rPr>
              <w:t>接待过程中，公司接待人员与投资者进行了充分的交流与沟通，严格按照有关制度规定，没有出现未公开重大信息泄露等情况，同时已按深交所要求签署调研《承诺书》。</w:t>
            </w:r>
          </w:p>
        </w:tc>
      </w:tr>
      <w:tr w:rsidR="00D3704D" w:rsidRPr="00943E94" w:rsidTr="008004CB">
        <w:tc>
          <w:tcPr>
            <w:tcW w:w="1908" w:type="dxa"/>
            <w:vAlign w:val="center"/>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lastRenderedPageBreak/>
              <w:t>附件清单（如有）</w:t>
            </w:r>
          </w:p>
        </w:tc>
        <w:tc>
          <w:tcPr>
            <w:tcW w:w="6614" w:type="dxa"/>
            <w:gridSpan w:val="2"/>
          </w:tcPr>
          <w:p w:rsidR="00D3704D" w:rsidRPr="00943E94" w:rsidRDefault="00D3704D" w:rsidP="008004CB">
            <w:pPr>
              <w:spacing w:line="480" w:lineRule="atLeast"/>
              <w:rPr>
                <w:rFonts w:ascii="TimesNewRoman" w:hAnsi="TimesNewRoman" w:hint="eastAsia"/>
                <w:sz w:val="24"/>
                <w:szCs w:val="24"/>
              </w:rPr>
            </w:pPr>
            <w:r w:rsidRPr="00943E94">
              <w:rPr>
                <w:rFonts w:ascii="TimesNewRoman" w:hAnsi="宋体" w:hint="eastAsia"/>
                <w:sz w:val="24"/>
                <w:szCs w:val="24"/>
              </w:rPr>
              <w:t>无</w:t>
            </w:r>
          </w:p>
        </w:tc>
      </w:tr>
      <w:tr w:rsidR="00D3704D" w:rsidRPr="00943E94" w:rsidTr="008004CB">
        <w:tc>
          <w:tcPr>
            <w:tcW w:w="1908" w:type="dxa"/>
            <w:vAlign w:val="center"/>
          </w:tcPr>
          <w:p w:rsidR="00D3704D" w:rsidRPr="00943E94" w:rsidRDefault="00D3704D" w:rsidP="008004CB">
            <w:pPr>
              <w:spacing w:line="480" w:lineRule="atLeast"/>
              <w:rPr>
                <w:rFonts w:ascii="TimesNewRoman" w:hAnsi="TimesNewRoman" w:hint="eastAsia"/>
                <w:b/>
                <w:sz w:val="24"/>
              </w:rPr>
            </w:pPr>
            <w:r w:rsidRPr="00943E94">
              <w:rPr>
                <w:rFonts w:ascii="TimesNewRoman" w:hAnsi="宋体" w:hint="eastAsia"/>
                <w:b/>
                <w:sz w:val="24"/>
              </w:rPr>
              <w:t>日期</w:t>
            </w:r>
          </w:p>
        </w:tc>
        <w:tc>
          <w:tcPr>
            <w:tcW w:w="6614" w:type="dxa"/>
            <w:gridSpan w:val="2"/>
          </w:tcPr>
          <w:p w:rsidR="00D3704D" w:rsidRPr="00943E94" w:rsidRDefault="00D3704D" w:rsidP="004401A3">
            <w:pPr>
              <w:spacing w:line="480" w:lineRule="atLeast"/>
              <w:rPr>
                <w:rFonts w:ascii="TimesNewRoman" w:hAnsi="TimesNewRoman" w:hint="eastAsia"/>
                <w:sz w:val="24"/>
                <w:szCs w:val="24"/>
              </w:rPr>
            </w:pPr>
            <w:r w:rsidRPr="00943E94">
              <w:rPr>
                <w:rFonts w:ascii="TimesNewRoman" w:hAnsi="TimesNewRoman" w:hint="eastAsia"/>
                <w:sz w:val="24"/>
                <w:szCs w:val="24"/>
              </w:rPr>
              <w:t>201</w:t>
            </w:r>
            <w:r w:rsidR="009D0B5E">
              <w:rPr>
                <w:rFonts w:ascii="TimesNewRoman" w:hAnsi="TimesNewRoman"/>
                <w:sz w:val="24"/>
                <w:szCs w:val="24"/>
              </w:rPr>
              <w:t>8</w:t>
            </w:r>
            <w:r w:rsidRPr="00943E94">
              <w:rPr>
                <w:rFonts w:ascii="TimesNewRoman" w:hAnsi="宋体" w:hint="eastAsia"/>
                <w:sz w:val="24"/>
                <w:szCs w:val="24"/>
              </w:rPr>
              <w:t>年</w:t>
            </w:r>
            <w:r w:rsidR="00CE3A25">
              <w:rPr>
                <w:rFonts w:ascii="TimesNewRoman" w:hAnsi="TimesNewRoman" w:hint="eastAsia"/>
                <w:sz w:val="24"/>
                <w:szCs w:val="24"/>
              </w:rPr>
              <w:t>1</w:t>
            </w:r>
            <w:r w:rsidRPr="00943E94">
              <w:rPr>
                <w:rFonts w:ascii="TimesNewRoman" w:hAnsi="宋体" w:hint="eastAsia"/>
                <w:sz w:val="24"/>
                <w:szCs w:val="24"/>
              </w:rPr>
              <w:t>月</w:t>
            </w:r>
            <w:r w:rsidR="0045503A">
              <w:rPr>
                <w:rFonts w:ascii="TimesNewRoman" w:hAnsi="TimesNewRoman"/>
                <w:sz w:val="24"/>
                <w:szCs w:val="24"/>
              </w:rPr>
              <w:t>30</w:t>
            </w:r>
            <w:r w:rsidRPr="00943E94">
              <w:rPr>
                <w:rFonts w:ascii="TimesNewRoman" w:hAnsi="宋体" w:hint="eastAsia"/>
                <w:sz w:val="24"/>
                <w:szCs w:val="24"/>
              </w:rPr>
              <w:t>日</w:t>
            </w:r>
          </w:p>
        </w:tc>
      </w:tr>
    </w:tbl>
    <w:p w:rsidR="00D3704D" w:rsidRPr="00943E94" w:rsidRDefault="00D3704D" w:rsidP="00D3704D">
      <w:pPr>
        <w:rPr>
          <w:rFonts w:ascii="TimesNewRoman" w:hAnsi="TimesNewRoman" w:hint="eastAsia"/>
        </w:rPr>
      </w:pPr>
    </w:p>
    <w:p w:rsidR="00D3704D" w:rsidRPr="00943E94" w:rsidRDefault="00D3704D" w:rsidP="00D3704D">
      <w:pPr>
        <w:rPr>
          <w:rFonts w:ascii="TimesNewRoman" w:hAnsi="TimesNewRoman" w:hint="eastAsia"/>
        </w:rPr>
      </w:pPr>
    </w:p>
    <w:p w:rsidR="00E80235" w:rsidRPr="00943E94" w:rsidRDefault="00E80235">
      <w:pPr>
        <w:rPr>
          <w:rFonts w:ascii="TimesNewRoman" w:hAnsi="TimesNewRoman" w:hint="eastAsia"/>
        </w:rPr>
      </w:pPr>
    </w:p>
    <w:sectPr w:rsidR="00E80235" w:rsidRPr="00943E94" w:rsidSect="007A2EB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82B" w:rsidRDefault="0079782B" w:rsidP="00D3704D">
      <w:r>
        <w:separator/>
      </w:r>
    </w:p>
  </w:endnote>
  <w:endnote w:type="continuationSeparator" w:id="0">
    <w:p w:rsidR="0079782B" w:rsidRDefault="0079782B"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82B" w:rsidRDefault="0079782B" w:rsidP="00D3704D">
      <w:r>
        <w:separator/>
      </w:r>
    </w:p>
  </w:footnote>
  <w:footnote w:type="continuationSeparator" w:id="0">
    <w:p w:rsidR="0079782B" w:rsidRDefault="0079782B" w:rsidP="00D3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704D"/>
    <w:rsid w:val="00011170"/>
    <w:rsid w:val="0001134B"/>
    <w:rsid w:val="00016D7C"/>
    <w:rsid w:val="00041BD6"/>
    <w:rsid w:val="00045A41"/>
    <w:rsid w:val="000649C3"/>
    <w:rsid w:val="000846EC"/>
    <w:rsid w:val="0009257F"/>
    <w:rsid w:val="000963FF"/>
    <w:rsid w:val="000D0E7C"/>
    <w:rsid w:val="00100FB7"/>
    <w:rsid w:val="001254C0"/>
    <w:rsid w:val="00136249"/>
    <w:rsid w:val="00136A3B"/>
    <w:rsid w:val="00140353"/>
    <w:rsid w:val="0014748C"/>
    <w:rsid w:val="00163FC5"/>
    <w:rsid w:val="0018028C"/>
    <w:rsid w:val="001828EB"/>
    <w:rsid w:val="00190C9D"/>
    <w:rsid w:val="001A5A36"/>
    <w:rsid w:val="001C6DC4"/>
    <w:rsid w:val="002137E2"/>
    <w:rsid w:val="002264AA"/>
    <w:rsid w:val="0023289C"/>
    <w:rsid w:val="00241ED6"/>
    <w:rsid w:val="00246516"/>
    <w:rsid w:val="00256CBC"/>
    <w:rsid w:val="002633B7"/>
    <w:rsid w:val="00281C82"/>
    <w:rsid w:val="002910E9"/>
    <w:rsid w:val="002932A1"/>
    <w:rsid w:val="002A5EDA"/>
    <w:rsid w:val="002C249C"/>
    <w:rsid w:val="002C6D5F"/>
    <w:rsid w:val="00337761"/>
    <w:rsid w:val="00366D14"/>
    <w:rsid w:val="00370EE6"/>
    <w:rsid w:val="003C23EA"/>
    <w:rsid w:val="003D0B0D"/>
    <w:rsid w:val="003E6CF9"/>
    <w:rsid w:val="003F018A"/>
    <w:rsid w:val="003F25B2"/>
    <w:rsid w:val="00414FA4"/>
    <w:rsid w:val="00416724"/>
    <w:rsid w:val="00421CAC"/>
    <w:rsid w:val="00422D27"/>
    <w:rsid w:val="004401A3"/>
    <w:rsid w:val="004422C1"/>
    <w:rsid w:val="0044659F"/>
    <w:rsid w:val="004511AD"/>
    <w:rsid w:val="0045503A"/>
    <w:rsid w:val="0046364D"/>
    <w:rsid w:val="00474CEB"/>
    <w:rsid w:val="004A0EBC"/>
    <w:rsid w:val="004B1809"/>
    <w:rsid w:val="004C4573"/>
    <w:rsid w:val="004F3751"/>
    <w:rsid w:val="00502D46"/>
    <w:rsid w:val="00511DA7"/>
    <w:rsid w:val="00527737"/>
    <w:rsid w:val="005341CB"/>
    <w:rsid w:val="005B5582"/>
    <w:rsid w:val="005C1B38"/>
    <w:rsid w:val="005E11B8"/>
    <w:rsid w:val="00605464"/>
    <w:rsid w:val="00610675"/>
    <w:rsid w:val="00620656"/>
    <w:rsid w:val="00686726"/>
    <w:rsid w:val="00691AD0"/>
    <w:rsid w:val="006D42A9"/>
    <w:rsid w:val="006D59F1"/>
    <w:rsid w:val="006E18AA"/>
    <w:rsid w:val="006F05CE"/>
    <w:rsid w:val="006F3FA6"/>
    <w:rsid w:val="0070033E"/>
    <w:rsid w:val="00727C04"/>
    <w:rsid w:val="0076447D"/>
    <w:rsid w:val="0079782B"/>
    <w:rsid w:val="007B76EC"/>
    <w:rsid w:val="007E49F6"/>
    <w:rsid w:val="007E77A7"/>
    <w:rsid w:val="00812B86"/>
    <w:rsid w:val="00820EE8"/>
    <w:rsid w:val="00822259"/>
    <w:rsid w:val="00825D5E"/>
    <w:rsid w:val="00837898"/>
    <w:rsid w:val="00847AFF"/>
    <w:rsid w:val="00871A26"/>
    <w:rsid w:val="008820C8"/>
    <w:rsid w:val="00883D42"/>
    <w:rsid w:val="008B460B"/>
    <w:rsid w:val="008E1538"/>
    <w:rsid w:val="008E2BFB"/>
    <w:rsid w:val="008E76FF"/>
    <w:rsid w:val="009027BF"/>
    <w:rsid w:val="00932A6C"/>
    <w:rsid w:val="00935572"/>
    <w:rsid w:val="00941380"/>
    <w:rsid w:val="00943E94"/>
    <w:rsid w:val="0095733F"/>
    <w:rsid w:val="009B1061"/>
    <w:rsid w:val="009C0B5A"/>
    <w:rsid w:val="009C50BB"/>
    <w:rsid w:val="009D0B5E"/>
    <w:rsid w:val="009D11B8"/>
    <w:rsid w:val="009D5F85"/>
    <w:rsid w:val="00A11C23"/>
    <w:rsid w:val="00A14371"/>
    <w:rsid w:val="00A30CC8"/>
    <w:rsid w:val="00A32FD9"/>
    <w:rsid w:val="00A7584E"/>
    <w:rsid w:val="00A92AD4"/>
    <w:rsid w:val="00AB3554"/>
    <w:rsid w:val="00AB6086"/>
    <w:rsid w:val="00AD4C75"/>
    <w:rsid w:val="00AE7FF6"/>
    <w:rsid w:val="00B00CDE"/>
    <w:rsid w:val="00B11A28"/>
    <w:rsid w:val="00B246C1"/>
    <w:rsid w:val="00B37BD0"/>
    <w:rsid w:val="00B37DDB"/>
    <w:rsid w:val="00B40F71"/>
    <w:rsid w:val="00B559A3"/>
    <w:rsid w:val="00B85DA8"/>
    <w:rsid w:val="00B90BC3"/>
    <w:rsid w:val="00BB7D88"/>
    <w:rsid w:val="00BC7406"/>
    <w:rsid w:val="00C24E17"/>
    <w:rsid w:val="00C25D36"/>
    <w:rsid w:val="00C30B8F"/>
    <w:rsid w:val="00C35433"/>
    <w:rsid w:val="00C64189"/>
    <w:rsid w:val="00CA6204"/>
    <w:rsid w:val="00CA774D"/>
    <w:rsid w:val="00CD03F9"/>
    <w:rsid w:val="00CE3A25"/>
    <w:rsid w:val="00CE3BE3"/>
    <w:rsid w:val="00D20834"/>
    <w:rsid w:val="00D21866"/>
    <w:rsid w:val="00D3704D"/>
    <w:rsid w:val="00D51411"/>
    <w:rsid w:val="00D66C56"/>
    <w:rsid w:val="00D934AE"/>
    <w:rsid w:val="00DA2DE9"/>
    <w:rsid w:val="00DB0B87"/>
    <w:rsid w:val="00DC3E35"/>
    <w:rsid w:val="00DE1483"/>
    <w:rsid w:val="00E23AE5"/>
    <w:rsid w:val="00E425C7"/>
    <w:rsid w:val="00E52E41"/>
    <w:rsid w:val="00E542BE"/>
    <w:rsid w:val="00E62CC4"/>
    <w:rsid w:val="00E80235"/>
    <w:rsid w:val="00E83A63"/>
    <w:rsid w:val="00E853B2"/>
    <w:rsid w:val="00EC1D56"/>
    <w:rsid w:val="00EE62D5"/>
    <w:rsid w:val="00EF3B7D"/>
    <w:rsid w:val="00F019FE"/>
    <w:rsid w:val="00F0509E"/>
    <w:rsid w:val="00F10609"/>
    <w:rsid w:val="00F22C6B"/>
    <w:rsid w:val="00F22E84"/>
    <w:rsid w:val="00F32670"/>
    <w:rsid w:val="00F575CB"/>
    <w:rsid w:val="00F6758C"/>
    <w:rsid w:val="00F67693"/>
    <w:rsid w:val="00F760CA"/>
    <w:rsid w:val="00F8703D"/>
    <w:rsid w:val="00F901D4"/>
    <w:rsid w:val="00F91AFD"/>
    <w:rsid w:val="00FA3B7E"/>
    <w:rsid w:val="00FB20BD"/>
    <w:rsid w:val="00FB739E"/>
    <w:rsid w:val="00FE669E"/>
    <w:rsid w:val="00FF1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4257"/>
  <w15:docId w15:val="{1EF493D7-C32D-4B1E-AC11-217E0D7D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2127">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784619679">
      <w:bodyDiv w:val="1"/>
      <w:marLeft w:val="0"/>
      <w:marRight w:val="0"/>
      <w:marTop w:val="0"/>
      <w:marBottom w:val="0"/>
      <w:divBdr>
        <w:top w:val="none" w:sz="0" w:space="0" w:color="auto"/>
        <w:left w:val="none" w:sz="0" w:space="0" w:color="auto"/>
        <w:bottom w:val="none" w:sz="0" w:space="0" w:color="auto"/>
        <w:right w:val="none" w:sz="0" w:space="0" w:color="auto"/>
      </w:divBdr>
    </w:div>
    <w:div w:id="808866793">
      <w:bodyDiv w:val="1"/>
      <w:marLeft w:val="0"/>
      <w:marRight w:val="0"/>
      <w:marTop w:val="0"/>
      <w:marBottom w:val="0"/>
      <w:divBdr>
        <w:top w:val="none" w:sz="0" w:space="0" w:color="auto"/>
        <w:left w:val="none" w:sz="0" w:space="0" w:color="auto"/>
        <w:bottom w:val="none" w:sz="0" w:space="0" w:color="auto"/>
        <w:right w:val="none" w:sz="0" w:space="0" w:color="auto"/>
      </w:divBdr>
    </w:div>
    <w:div w:id="1625892261">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陈偲</cp:lastModifiedBy>
  <cp:revision>16</cp:revision>
  <dcterms:created xsi:type="dcterms:W3CDTF">2018-01-12T11:17:00Z</dcterms:created>
  <dcterms:modified xsi:type="dcterms:W3CDTF">2018-01-30T11:19:00Z</dcterms:modified>
</cp:coreProperties>
</file>