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4D" w:rsidRPr="00943E94" w:rsidRDefault="00D3704D" w:rsidP="00CD01CA">
      <w:pPr>
        <w:spacing w:beforeLines="50" w:afterLines="50"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宋体" w:hint="eastAsia"/>
          <w:sz w:val="24"/>
        </w:rPr>
        <w:t>证券代码：</w:t>
      </w:r>
      <w:r w:rsidRPr="00943E94">
        <w:rPr>
          <w:rFonts w:ascii="TimesNewRoman" w:hAnsi="TimesNewRoman" w:hint="eastAsia"/>
          <w:sz w:val="24"/>
        </w:rPr>
        <w:t xml:space="preserve">300232                                </w:t>
      </w:r>
      <w:r w:rsidRPr="00943E94">
        <w:rPr>
          <w:rFonts w:ascii="TimesNewRoman" w:hAnsi="宋体" w:hint="eastAsia"/>
          <w:sz w:val="24"/>
        </w:rPr>
        <w:t>证券简称：洲明科技</w:t>
      </w:r>
      <w:r w:rsidRPr="00943E94">
        <w:rPr>
          <w:rFonts w:ascii="TimesNewRoman" w:hAnsi="TimesNewRoman" w:hint="eastAsia"/>
          <w:sz w:val="24"/>
        </w:rPr>
        <w:t xml:space="preserve"> </w:t>
      </w:r>
    </w:p>
    <w:p w:rsidR="00D3704D" w:rsidRPr="00943E94" w:rsidRDefault="00E83A63" w:rsidP="00CD01CA">
      <w:pPr>
        <w:spacing w:beforeLines="100" w:afterLines="100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>
        <w:rPr>
          <w:rFonts w:ascii="TimesNewRoman" w:hAnsi="宋体" w:hint="eastAsia"/>
          <w:b/>
          <w:sz w:val="32"/>
          <w:szCs w:val="32"/>
        </w:rPr>
        <w:t>深圳市洲明科技股份有限公司投资者关系活动记录表（</w:t>
      </w:r>
      <w:r w:rsidR="005E0983">
        <w:rPr>
          <w:rFonts w:ascii="TimesNewRoman" w:hAnsi="宋体" w:hint="eastAsia"/>
          <w:b/>
          <w:sz w:val="32"/>
          <w:szCs w:val="32"/>
        </w:rPr>
        <w:t>三</w:t>
      </w:r>
      <w:r w:rsidR="00D3704D" w:rsidRPr="00943E94">
        <w:rPr>
          <w:rFonts w:ascii="TimesNewRoman" w:hAnsi="宋体" w:hint="eastAsia"/>
          <w:b/>
          <w:sz w:val="32"/>
          <w:szCs w:val="32"/>
        </w:rPr>
        <w:t>）</w:t>
      </w:r>
    </w:p>
    <w:p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                                  </w:t>
      </w:r>
      <w:r w:rsidRPr="00943E94">
        <w:rPr>
          <w:rFonts w:ascii="TimesNewRoman" w:hAnsi="宋体" w:hint="eastAsia"/>
          <w:sz w:val="24"/>
        </w:rPr>
        <w:t>编号：</w:t>
      </w:r>
      <w:r w:rsidR="006F3FA6">
        <w:rPr>
          <w:rFonts w:ascii="TimesNewRoman" w:hAnsi="TimesNewRoman" w:hint="eastAsia"/>
          <w:sz w:val="24"/>
        </w:rPr>
        <w:t>201</w:t>
      </w:r>
      <w:r w:rsidR="00EC1D56">
        <w:rPr>
          <w:rFonts w:ascii="TimesNewRoman" w:hAnsi="TimesNewRoman"/>
          <w:sz w:val="24"/>
        </w:rPr>
        <w:t>8</w:t>
      </w:r>
      <w:r w:rsidR="006F3FA6">
        <w:rPr>
          <w:rFonts w:ascii="TimesNewRoman" w:hAnsi="TimesNewRoman" w:hint="eastAsia"/>
          <w:sz w:val="24"/>
        </w:rPr>
        <w:t>-00</w:t>
      </w:r>
      <w:r w:rsidR="007452C5">
        <w:rPr>
          <w:rFonts w:ascii="TimesNewRoman" w:hAnsi="TimesNewRoman"/>
          <w:sz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3307"/>
        <w:gridCol w:w="3307"/>
      </w:tblGrid>
      <w:tr w:rsidR="00D3704D" w:rsidRPr="00943E94" w:rsidTr="008B460B">
        <w:trPr>
          <w:trHeight w:val="2555"/>
        </w:trPr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</w:p>
        </w:tc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D3704D" w:rsidRPr="00943E94" w:rsidRDefault="00337761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bCs/>
                <w:iCs/>
                <w:color w:val="000000"/>
                <w:sz w:val="24"/>
              </w:rPr>
              <w:t>■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利润说明会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:rsidR="00D3704D" w:rsidRPr="00943E94" w:rsidRDefault="005E0983" w:rsidP="008004C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bCs/>
                <w:iCs/>
                <w:color w:val="000000"/>
                <w:sz w:val="24"/>
              </w:rPr>
              <w:t>■</w:t>
            </w:r>
            <w:r w:rsidR="00D3704D" w:rsidRPr="00943E94">
              <w:rPr>
                <w:rFonts w:ascii="TimesNewRoman" w:hAnsi="宋体" w:hint="eastAsia"/>
                <w:sz w:val="24"/>
              </w:rPr>
              <w:t>现场参观</w:t>
            </w:r>
            <w:r w:rsidR="00D3704D" w:rsidRPr="00943E94">
              <w:rPr>
                <w:rFonts w:ascii="TimesNewRoman" w:hAnsi="TimesNewRoman"/>
                <w:sz w:val="24"/>
              </w:rPr>
              <w:tab/>
            </w:r>
          </w:p>
          <w:p w:rsidR="00D3704D" w:rsidRPr="00943E94" w:rsidRDefault="00D3704D" w:rsidP="008004CB">
            <w:pPr>
              <w:tabs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其他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</w:t>
            </w:r>
          </w:p>
        </w:tc>
      </w:tr>
      <w:tr w:rsidR="008B460B" w:rsidRPr="00943E94" w:rsidTr="008B460B">
        <w:trPr>
          <w:trHeight w:val="957"/>
        </w:trPr>
        <w:tc>
          <w:tcPr>
            <w:tcW w:w="1908" w:type="dxa"/>
          </w:tcPr>
          <w:p w:rsidR="008B460B" w:rsidRPr="00943E94" w:rsidRDefault="008B460B" w:rsidP="004401A3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3307" w:type="dxa"/>
            <w:tcBorders>
              <w:right w:val="nil"/>
            </w:tcBorders>
          </w:tcPr>
          <w:p w:rsidR="008B460B" w:rsidRDefault="005E0983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海通</w:t>
            </w:r>
            <w:r w:rsidR="00A32FD9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证券</w:t>
            </w:r>
            <w:r w:rsidR="008B460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谢磊</w:t>
            </w:r>
          </w:p>
          <w:p w:rsidR="00820EE8" w:rsidRDefault="005E0983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诺安基金：童宇</w:t>
            </w:r>
          </w:p>
          <w:p w:rsidR="005E0983" w:rsidRDefault="005E0983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君择控股：彭家辉</w:t>
            </w:r>
          </w:p>
          <w:p w:rsidR="005E0983" w:rsidRDefault="005E0983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君择控股：黄登峰</w:t>
            </w:r>
          </w:p>
          <w:p w:rsidR="005E0983" w:rsidRDefault="005E0983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君泽控股：傅晓阳</w:t>
            </w:r>
          </w:p>
          <w:p w:rsidR="005E0983" w:rsidRPr="00246516" w:rsidRDefault="005E0983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华林证券：樊颢然</w:t>
            </w:r>
          </w:p>
        </w:tc>
        <w:tc>
          <w:tcPr>
            <w:tcW w:w="3307" w:type="dxa"/>
            <w:tcBorders>
              <w:left w:val="nil"/>
            </w:tcBorders>
          </w:tcPr>
          <w:p w:rsidR="008B460B" w:rsidRDefault="005E0983" w:rsidP="005E0983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中金三甲：曾燕玲</w:t>
            </w:r>
          </w:p>
          <w:p w:rsidR="005E0983" w:rsidRDefault="005E0983" w:rsidP="005E0983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西部金控：卢小东</w:t>
            </w:r>
          </w:p>
          <w:p w:rsidR="005E0983" w:rsidRDefault="005E0983" w:rsidP="005E0983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五矿证券：何志锟</w:t>
            </w:r>
          </w:p>
          <w:p w:rsidR="005E0983" w:rsidRDefault="005E0983" w:rsidP="005E0983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五矿证券：骆可桂</w:t>
            </w:r>
          </w:p>
          <w:p w:rsidR="005E0983" w:rsidRPr="008B460B" w:rsidRDefault="005E0983" w:rsidP="005E0983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大通资本：吴顺成</w:t>
            </w:r>
          </w:p>
        </w:tc>
      </w:tr>
      <w:tr w:rsidR="00D3704D" w:rsidRPr="00943E94" w:rsidTr="008004CB"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6614" w:type="dxa"/>
            <w:gridSpan w:val="2"/>
          </w:tcPr>
          <w:p w:rsidR="00D3704D" w:rsidRPr="00943E94" w:rsidRDefault="00D3704D" w:rsidP="004401A3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/>
                <w:sz w:val="24"/>
              </w:rPr>
              <w:t>201</w:t>
            </w:r>
            <w:r w:rsidR="00EC1D56">
              <w:rPr>
                <w:rFonts w:ascii="TimesNewRoman" w:hAnsi="TimesNewRoman"/>
                <w:sz w:val="24"/>
              </w:rPr>
              <w:t>8</w:t>
            </w:r>
            <w:r w:rsidRPr="00943E94">
              <w:rPr>
                <w:rFonts w:ascii="TimesNewRoman" w:hAnsi="宋体"/>
                <w:sz w:val="24"/>
              </w:rPr>
              <w:t>年</w:t>
            </w:r>
            <w:r w:rsidR="005E0983">
              <w:rPr>
                <w:rFonts w:ascii="TimesNewRoman" w:hAnsi="TimesNewRoman"/>
                <w:sz w:val="24"/>
              </w:rPr>
              <w:t>2</w:t>
            </w:r>
            <w:r w:rsidRPr="00943E94">
              <w:rPr>
                <w:rFonts w:ascii="TimesNewRoman" w:hAnsi="宋体"/>
                <w:sz w:val="24"/>
              </w:rPr>
              <w:t>月</w:t>
            </w:r>
            <w:r w:rsidR="005E0983">
              <w:rPr>
                <w:rFonts w:ascii="TimesNewRoman" w:hAnsi="TimesNewRoman"/>
                <w:sz w:val="24"/>
              </w:rPr>
              <w:t>2</w:t>
            </w:r>
            <w:r w:rsidRPr="00943E94">
              <w:rPr>
                <w:rFonts w:ascii="TimesNewRoman" w:hAnsi="宋体"/>
                <w:sz w:val="24"/>
              </w:rPr>
              <w:t>日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</w:t>
            </w:r>
            <w:r w:rsidR="00E52E41">
              <w:rPr>
                <w:rFonts w:ascii="TimesNewRoman" w:hAnsi="TimesNewRoman"/>
                <w:sz w:val="24"/>
              </w:rPr>
              <w:t>1</w:t>
            </w:r>
            <w:r w:rsidR="005E0983">
              <w:rPr>
                <w:rFonts w:ascii="TimesNewRoman" w:hAnsi="TimesNewRoman"/>
                <w:sz w:val="24"/>
              </w:rPr>
              <w:t>5</w:t>
            </w:r>
            <w:r w:rsidR="00EC1D56">
              <w:rPr>
                <w:rFonts w:ascii="TimesNewRoman" w:hAnsi="TimesNewRoman" w:hint="eastAsia"/>
                <w:sz w:val="24"/>
              </w:rPr>
              <w:t>:</w:t>
            </w:r>
            <w:r w:rsidR="00E52E41">
              <w:rPr>
                <w:rFonts w:ascii="TimesNewRoman" w:hAnsi="TimesNewRoman"/>
                <w:sz w:val="24"/>
              </w:rPr>
              <w:t>00</w:t>
            </w:r>
            <w:r w:rsidR="00EC1D56">
              <w:rPr>
                <w:rFonts w:ascii="TimesNewRoman" w:hAnsi="TimesNewRoman"/>
                <w:sz w:val="24"/>
              </w:rPr>
              <w:t>-1</w:t>
            </w:r>
            <w:r w:rsidR="005E0983">
              <w:rPr>
                <w:rFonts w:ascii="TimesNewRoman" w:hAnsi="TimesNewRoman"/>
                <w:sz w:val="24"/>
              </w:rPr>
              <w:t>7</w:t>
            </w:r>
            <w:r w:rsidR="00EC1D56">
              <w:rPr>
                <w:rFonts w:ascii="TimesNewRoman" w:hAnsi="TimesNewRoman" w:hint="eastAsia"/>
                <w:sz w:val="24"/>
              </w:rPr>
              <w:t>:</w:t>
            </w:r>
            <w:r w:rsidR="00E52E41">
              <w:rPr>
                <w:rFonts w:ascii="TimesNewRoman" w:hAnsi="TimesNewRoman"/>
                <w:sz w:val="24"/>
              </w:rPr>
              <w:t>0</w:t>
            </w:r>
            <w:r w:rsidR="00EC1D56">
              <w:rPr>
                <w:rFonts w:ascii="TimesNewRoman" w:hAnsi="TimesNewRoman"/>
                <w:sz w:val="24"/>
              </w:rPr>
              <w:t>0</w:t>
            </w:r>
          </w:p>
        </w:tc>
      </w:tr>
      <w:tr w:rsidR="00D3704D" w:rsidRPr="00943E94" w:rsidTr="008004CB">
        <w:trPr>
          <w:trHeight w:val="380"/>
        </w:trPr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6614" w:type="dxa"/>
            <w:gridSpan w:val="2"/>
          </w:tcPr>
          <w:p w:rsidR="00D3704D" w:rsidRPr="00943E94" w:rsidRDefault="00EC1D56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宋体" w:hint="eastAsia"/>
                <w:sz w:val="24"/>
              </w:rPr>
              <w:t>公司福永总部</w:t>
            </w:r>
            <w:r w:rsidR="005E0983">
              <w:rPr>
                <w:rFonts w:ascii="TimesNewRoman" w:hAnsi="TimesNewRoman"/>
                <w:sz w:val="24"/>
              </w:rPr>
              <w:t>1</w:t>
            </w:r>
            <w:r w:rsidRPr="00943E94">
              <w:rPr>
                <w:rFonts w:ascii="TimesNewRoman" w:hAnsi="宋体" w:hint="eastAsia"/>
                <w:sz w:val="24"/>
              </w:rPr>
              <w:t>楼会议室</w:t>
            </w:r>
          </w:p>
        </w:tc>
      </w:tr>
      <w:tr w:rsidR="00D3704D" w:rsidRPr="00943E94" w:rsidTr="008004CB"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6614" w:type="dxa"/>
            <w:gridSpan w:val="2"/>
          </w:tcPr>
          <w:p w:rsidR="002C6D5F" w:rsidRDefault="008063AC" w:rsidP="008004CB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投资副总监刘珺</w:t>
            </w:r>
          </w:p>
          <w:p w:rsidR="002C6D5F" w:rsidRPr="00F019FE" w:rsidRDefault="002C6D5F" w:rsidP="008004CB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证券事务专员陈珊</w:t>
            </w:r>
            <w:r w:rsidR="001F59A5">
              <w:rPr>
                <w:rFonts w:ascii="TimesNewRoman" w:hAnsi="宋体" w:hint="eastAsia"/>
                <w:sz w:val="24"/>
              </w:rPr>
              <w:t>、陈偲</w:t>
            </w:r>
          </w:p>
        </w:tc>
      </w:tr>
      <w:tr w:rsidR="00D3704D" w:rsidRPr="00943E94" w:rsidTr="008004CB">
        <w:trPr>
          <w:trHeight w:val="699"/>
        </w:trPr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614" w:type="dxa"/>
            <w:gridSpan w:val="2"/>
            <w:vAlign w:val="center"/>
          </w:tcPr>
          <w:p w:rsidR="00190C9D" w:rsidRDefault="00190C9D" w:rsidP="00190C9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8B1F6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本次投资者关系活动以</w:t>
            </w:r>
            <w:r w:rsidR="001F59A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现场参观和</w:t>
            </w:r>
            <w:r w:rsidRPr="008B1F6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会议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交流</w:t>
            </w:r>
            <w:r w:rsidRPr="008B1F6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的方式进行</w:t>
            </w:r>
            <w:r w:rsidR="001F59A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。首先，投资者在接待人员的带领下参观了公司展厅，了解了</w:t>
            </w:r>
            <w:r w:rsidRPr="008B1F6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</w:t>
            </w:r>
            <w:r w:rsidR="001F59A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的发展历程、主要产品及经营现状。</w:t>
            </w:r>
            <w:r w:rsidRPr="008B1F6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随后</w:t>
            </w:r>
            <w:r w:rsidR="001F59A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接待人员</w:t>
            </w:r>
            <w:r w:rsidRPr="008B1F6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与来访者进行了沟通交流，主要内容如下：</w:t>
            </w:r>
          </w:p>
          <w:p w:rsidR="00527737" w:rsidRPr="004401A3" w:rsidRDefault="00527737" w:rsidP="00527737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1</w:t>
            </w: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C65F35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请问</w:t>
            </w:r>
            <w:r w:rsidR="00C65F35" w:rsidRPr="00C65F35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小间距</w:t>
            </w:r>
            <w:r w:rsidR="00C65F35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L</w:t>
            </w:r>
            <w:r w:rsidR="00C65F35"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ED</w:t>
            </w:r>
            <w:r w:rsidR="00C65F35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产品</w:t>
            </w:r>
            <w:r w:rsidR="00C65F35" w:rsidRPr="00C65F35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的壁垒在哪里</w:t>
            </w:r>
            <w:r w:rsidR="00C65F35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？未来的行业集中度是否会降低？</w:t>
            </w:r>
            <w:r w:rsidR="000B65DE"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65F35" w:rsidRPr="00C65F35" w:rsidRDefault="00FA3B7E" w:rsidP="000B65D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回复</w:t>
            </w:r>
            <w:r w:rsidR="00527737"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="000B65D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我们认为小间距L</w:t>
            </w:r>
            <w:r w:rsidR="000B65DE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ED</w:t>
            </w:r>
            <w:r w:rsidR="000B65D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产品的壁垒主要集中在以下几个方面：第一，</w:t>
            </w:r>
            <w:r w:rsidR="00C65F35"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研发与技术壁垒，小间距产品与普通显示屏相比，在点间距、灰度、亮度、生产工艺、产品良率控制和稳定</w:t>
            </w:r>
            <w:r w:rsidR="00C65F35"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性等技术要求较高。</w:t>
            </w:r>
            <w:r w:rsidR="000B65D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第二，</w:t>
            </w:r>
            <w:r w:rsidR="00C65F35"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资金壁垒，在目前的市场环境下,要参加招标承接大型项目,必须投资于先进的机器设备,提升产能及技术水平，量产需要大量的设备投入与产线扩张。</w:t>
            </w:r>
            <w:r w:rsidR="000B65D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第三，</w:t>
            </w:r>
            <w:r w:rsidR="00C65F35"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品牌壁垒，消费升级的大背景下，消费者越来越重视品牌效应，看重公司过往的经典案例与标杆项目。</w:t>
            </w:r>
            <w:r w:rsidR="000B65D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第四，</w:t>
            </w:r>
            <w:r w:rsidR="00C65F35"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渠道壁垒，公司在全球有700多家经销渠道，各地区经销商在当地深耕多年，客户资源及项目经验丰富。</w:t>
            </w:r>
            <w:r w:rsidR="000B65D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第五，</w:t>
            </w:r>
            <w:r w:rsidR="00C65F35"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销售人才壁垒，LED产品应用于多行业、多领域，销售人员需要对各应用领域的个性化需求有深刻的理解，公司需对销售人员进行持续培训。</w:t>
            </w:r>
          </w:p>
          <w:p w:rsidR="00527737" w:rsidRDefault="00C65F35" w:rsidP="00C65F3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未来小间距质量和性能需求越来越高，具有产品、技术、资金、品牌优势的行业龙头企业将受益于小间距产品的发展，</w:t>
            </w:r>
            <w:r w:rsidR="007452C5"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我们认为</w:t>
            </w:r>
            <w:r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未来小间距的集中度</w:t>
            </w:r>
            <w:r w:rsidR="000B65D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不会下降，反而可能</w:t>
            </w:r>
            <w:r w:rsidR="007452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出现</w:t>
            </w:r>
            <w:r w:rsidRPr="00C65F3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进一步提升。</w:t>
            </w:r>
          </w:p>
          <w:p w:rsidR="001D7175" w:rsidRDefault="001D7175" w:rsidP="00605464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</w:p>
          <w:p w:rsidR="004401A3" w:rsidRPr="004401A3" w:rsidRDefault="00527737" w:rsidP="00605464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2</w:t>
            </w:r>
            <w:r w:rsidR="004401A3"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0B65DE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请问小间距L</w:t>
            </w:r>
            <w:r w:rsidR="000B65DE"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ED</w:t>
            </w:r>
            <w:r w:rsidR="000B65DE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产品未来发展方向是</w:t>
            </w:r>
            <w:r w:rsidR="0095658F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什么</w:t>
            </w:r>
            <w:r w:rsidR="000B65DE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？还是会有其他的新技术出现？</w:t>
            </w:r>
          </w:p>
          <w:p w:rsidR="00875A22" w:rsidRDefault="004401A3" w:rsidP="000B65D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回复：</w:t>
            </w:r>
            <w:r w:rsid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目前</w:t>
            </w:r>
            <w:r w:rsidR="009565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市场上</w:t>
            </w:r>
            <w:r w:rsidR="005B4722"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高精尖的小间距</w:t>
            </w:r>
            <w:r w:rsid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L</w:t>
            </w:r>
            <w:r w:rsidR="005B472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ED</w:t>
            </w:r>
            <w:r w:rsidR="005B4722"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产品</w:t>
            </w:r>
            <w:r w:rsidR="009565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以P</w:t>
            </w:r>
            <w:r w:rsidR="0095658F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1.</w:t>
            </w:r>
            <w:r w:rsidR="009565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0—P2</w:t>
            </w:r>
            <w:r w:rsidR="0095658F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.</w:t>
            </w:r>
            <w:r w:rsidR="009565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0为主，</w:t>
            </w:r>
            <w:r w:rsidR="00875A22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小间距已有应用在</w:t>
            </w:r>
            <w:r w:rsidR="009565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公安、交通、军队、</w:t>
            </w:r>
            <w:r w:rsidR="00875A22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高端零售商店、视频会议、展览展会、教育等领域的案例。未来，随着芯片技术及封装技术的进一步提升，LED小间距显示屏的点间距有望进一步突破，且在</w:t>
            </w:r>
            <w:r w:rsidR="009565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产品成本的进一步下降及</w:t>
            </w:r>
            <w:r w:rsidR="00875A22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AR/VR、裸眼3D</w:t>
            </w:r>
            <w:r w:rsidR="00875A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等热门技术结合的应用下，有望开启</w:t>
            </w:r>
            <w:r w:rsidR="00875A22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110寸以上大屏幕高端家用电视、影院、放映厅等领域。</w:t>
            </w:r>
          </w:p>
          <w:p w:rsidR="005B4722" w:rsidRDefault="005B4722" w:rsidP="005B47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另外，小间距LED产品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不仅仅</w:t>
            </w:r>
            <w:r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纯粹的追求超小间距，显示的可靠性、视觉效果、高效节能、成本优化、整个系统的协同发展才是核心，再加上4K显示，裸眼3D，VR／AR等全新概念的层出不穷，势必掀起LED显示屏新一波应用的革新浪潮，这种趋势可能会成为未来的市场增长支柱。</w:t>
            </w:r>
          </w:p>
          <w:p w:rsidR="00875A22" w:rsidRPr="00E62CC4" w:rsidRDefault="000B65DE" w:rsidP="00875A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除了小间距L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ED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往更小间距的方向发展外，市场上</w:t>
            </w:r>
            <w:r w:rsidR="00875A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现在也</w:t>
            </w:r>
            <w:r w:rsidR="00875A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出现很多热门技术，如C</w:t>
            </w:r>
            <w:r w:rsidR="00875A2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OB</w:t>
            </w:r>
            <w:r w:rsidR="00875A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技术、M</w:t>
            </w:r>
            <w:r w:rsidR="00875A2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icro LED</w:t>
            </w:r>
            <w:r w:rsidR="00875A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和M</w:t>
            </w:r>
            <w:r w:rsidR="00875A2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ini LED</w:t>
            </w:r>
            <w:r w:rsidR="00875A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875A22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公司也一直在密切关注</w:t>
            </w:r>
            <w:r w:rsidR="00875A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相关产品的</w:t>
            </w:r>
            <w:r w:rsidR="00875A22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新技术和新工艺的发展趋势,通过引进国内外高端技术人才、组建专业的研发团队等方式不断提升研发水平，</w:t>
            </w:r>
            <w:r w:rsidR="00875A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做好产品储备，</w:t>
            </w:r>
            <w:r w:rsidR="00875A22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持续保持行业领先地位。</w:t>
            </w:r>
          </w:p>
          <w:p w:rsidR="001D7175" w:rsidRDefault="001D7175" w:rsidP="00605464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</w:p>
          <w:p w:rsidR="004401A3" w:rsidRPr="004401A3" w:rsidRDefault="00527737" w:rsidP="00605464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3</w:t>
            </w:r>
            <w:r w:rsidR="004401A3"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请问</w:t>
            </w:r>
            <w:r w:rsidR="00875A22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公司的路灯业务是如何布局的？</w:t>
            </w:r>
          </w:p>
          <w:p w:rsidR="00C15EB7" w:rsidRDefault="004401A3" w:rsidP="008B34A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回复：</w:t>
            </w:r>
            <w:r w:rsidR="007452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公司的</w:t>
            </w:r>
            <w:r w:rsidR="008B34A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全资子公司广东洲明</w:t>
            </w:r>
            <w:r w:rsidR="008B34AF" w:rsidRPr="008B34A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是公司道路照明产品及EMC服务的唯一运营平台，</w:t>
            </w:r>
            <w:r w:rsidR="008B34A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通过合同能源管理（</w:t>
            </w:r>
            <w:r w:rsidR="008B34AF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EMC</w:t>
            </w:r>
            <w:r w:rsidR="008B34A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）的方式承接了多地的路灯</w:t>
            </w:r>
            <w:bookmarkStart w:id="0" w:name="_GoBack"/>
            <w:bookmarkEnd w:id="0"/>
            <w:r w:rsidR="008B34A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改造项目。</w:t>
            </w:r>
            <w:r w:rsid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此外，</w:t>
            </w:r>
            <w:r w:rsidR="001D71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应</w:t>
            </w:r>
            <w:r w:rsidR="005B4722" w:rsidRPr="00C15EB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智慧交通、智慧城市</w:t>
            </w:r>
            <w:r w:rsidR="001D71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趋势，</w:t>
            </w:r>
            <w:r w:rsid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</w:t>
            </w:r>
            <w:r w:rsidR="005B4722" w:rsidRPr="008B34A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早在2014</w:t>
            </w:r>
            <w:r w:rsid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年开始便携手全球领先的信息与通信解决方案供应商着手准备智慧</w:t>
            </w:r>
            <w:r w:rsidR="005B4722" w:rsidRPr="008B34A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路灯</w:t>
            </w:r>
            <w:r w:rsidR="001D71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</w:t>
            </w:r>
            <w:r w:rsidR="005B4722" w:rsidRPr="008B34A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研发</w:t>
            </w:r>
            <w:r w:rsid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812B86" w:rsidRPr="004B1809" w:rsidRDefault="005B4722" w:rsidP="001D71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在路灯项目方面，广东洲明除了继续拓展原来的EMC工程外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1D71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未来会</w:t>
            </w:r>
            <w:r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大力推广智慧路灯项目，朝着“服务民生”和“政府政务”两个应用方向开拓市场，在智慧景区、智慧商圈、智慧园区三大场景深入布局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。同时，</w:t>
            </w:r>
            <w:r w:rsidR="001D71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公司会将</w:t>
            </w:r>
            <w:r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户外</w:t>
            </w:r>
            <w:r w:rsidR="001D71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景观</w:t>
            </w:r>
            <w:r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亮化和洲明路灯</w:t>
            </w:r>
            <w:r w:rsidR="001D71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进行</w:t>
            </w:r>
            <w:r w:rsidRPr="005B472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双向导入，为客户提供一揽子解决方案</w:t>
            </w:r>
            <w:r w:rsidR="001D71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1D7175" w:rsidRDefault="001D7175" w:rsidP="00C15EB7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</w:p>
          <w:p w:rsidR="00C15EB7" w:rsidRPr="004401A3" w:rsidRDefault="0009257F" w:rsidP="00C15EB7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09257F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4、</w:t>
            </w:r>
            <w:r w:rsidR="00C15EB7"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公司</w:t>
            </w:r>
            <w:r w:rsidR="00C15EB7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先后收购了几家景观照明的公司，为什么会选择进入景观照明的市场</w:t>
            </w:r>
            <w:r w:rsidR="00C15EB7"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？</w:t>
            </w:r>
          </w:p>
          <w:p w:rsidR="00C15EB7" w:rsidRDefault="00C15EB7" w:rsidP="00C15E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回复：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首先，景观亮化是</w:t>
            </w:r>
            <w:r w:rsidRP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体现城市文化、内容最快、最有效果、成本最少的方式之一，直接感官好，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全国各个城市都有景观照明项目的需求，具有广阔的</w:t>
            </w:r>
            <w:r w:rsidRP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市场空间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；其次，目前市场上</w:t>
            </w:r>
            <w:r w:rsidRP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景观照明与显示屏相结合的情形越来越多，未来照明与显示屏统一打包的业务是发展趋势，公司在LED显示方面具有领先优势，布局景观照明未来能与显示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业务</w:t>
            </w:r>
            <w:r w:rsidRP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协同发展。</w:t>
            </w:r>
          </w:p>
          <w:p w:rsidR="001D7175" w:rsidRDefault="001D7175" w:rsidP="00C15EB7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</w:p>
          <w:p w:rsidR="00C15EB7" w:rsidRPr="004401A3" w:rsidRDefault="00C15EB7" w:rsidP="00C15EB7">
            <w:pPr>
              <w:spacing w:line="360" w:lineRule="auto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5</w:t>
            </w: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请问公司2</w:t>
            </w:r>
            <w:r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017</w:t>
            </w: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年的汇兑损益怎么样？未来是否会做些套期保值？</w:t>
            </w:r>
          </w:p>
          <w:p w:rsidR="00C15EB7" w:rsidRPr="004B1809" w:rsidRDefault="00C15EB7" w:rsidP="00C15EB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回复：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公司在业绩预告中有披露，2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017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年全年的汇兑损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失约为3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700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万元。公司在2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017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年制定并发布了《外汇衍生品交易业务管理制度》，</w:t>
            </w:r>
            <w:r w:rsidRPr="004B180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汇率</w:t>
            </w:r>
            <w:r w:rsidRPr="004B180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出现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中</w:t>
            </w:r>
            <w:r w:rsidRPr="004B180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长期相对稳定可预期的窗口，公司会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根据相关制度</w:t>
            </w:r>
            <w:r w:rsidRPr="004B180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适时采取规避汇率风险的措施。</w:t>
            </w:r>
          </w:p>
          <w:p w:rsidR="00F901D4" w:rsidRPr="00C15EB7" w:rsidRDefault="00F901D4" w:rsidP="00F901D4">
            <w:pPr>
              <w:spacing w:line="360" w:lineRule="auto"/>
              <w:rPr>
                <w:rFonts w:ascii="TimesNewRoman"/>
                <w:sz w:val="24"/>
                <w:szCs w:val="24"/>
              </w:rPr>
            </w:pPr>
          </w:p>
          <w:p w:rsidR="00D3704D" w:rsidRPr="00943E94" w:rsidRDefault="00D3704D" w:rsidP="00A30CC8">
            <w:pPr>
              <w:spacing w:line="360" w:lineRule="auto"/>
              <w:ind w:firstLineChars="200" w:firstLine="480"/>
              <w:jc w:val="lef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int="eastAsia"/>
                <w:sz w:val="24"/>
                <w:szCs w:val="24"/>
              </w:rPr>
              <w:t>接待过程中，公司接待人员与投资者进行了充分的交流与沟通，严格按照有关制度规定，没有出现未公开重大信息泄露等情况，同时已按深交所要求签署调研《承诺书》。</w:t>
            </w:r>
          </w:p>
        </w:tc>
      </w:tr>
      <w:tr w:rsidR="00D3704D" w:rsidRPr="00943E94" w:rsidTr="008004CB"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gridSpan w:val="2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Ansi="宋体" w:hint="eastAsia"/>
                <w:sz w:val="24"/>
                <w:szCs w:val="24"/>
              </w:rPr>
              <w:t>无</w:t>
            </w:r>
          </w:p>
        </w:tc>
      </w:tr>
      <w:tr w:rsidR="00D3704D" w:rsidRPr="00943E94" w:rsidTr="008004CB"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6614" w:type="dxa"/>
            <w:gridSpan w:val="2"/>
          </w:tcPr>
          <w:p w:rsidR="00D3704D" w:rsidRPr="00943E94" w:rsidRDefault="00D3704D" w:rsidP="00CD01CA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Ansi="TimesNewRoman" w:hint="eastAsia"/>
                <w:sz w:val="24"/>
                <w:szCs w:val="24"/>
              </w:rPr>
              <w:t>201</w:t>
            </w:r>
            <w:r w:rsidR="009D0B5E">
              <w:rPr>
                <w:rFonts w:ascii="TimesNewRoman" w:hAnsi="TimesNewRoman"/>
                <w:sz w:val="24"/>
                <w:szCs w:val="24"/>
              </w:rPr>
              <w:t>8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年</w:t>
            </w:r>
            <w:r w:rsidR="00C15EB7">
              <w:rPr>
                <w:rFonts w:ascii="TimesNewRoman" w:hAnsi="TimesNewRoman"/>
                <w:sz w:val="24"/>
                <w:szCs w:val="24"/>
              </w:rPr>
              <w:t>2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月</w:t>
            </w:r>
            <w:r w:rsidR="00CD01CA">
              <w:rPr>
                <w:rFonts w:ascii="TimesNewRoman" w:hAnsi="TimesNewRoman" w:hint="eastAsia"/>
                <w:sz w:val="24"/>
                <w:szCs w:val="24"/>
              </w:rPr>
              <w:t>5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日</w:t>
            </w:r>
          </w:p>
        </w:tc>
      </w:tr>
    </w:tbl>
    <w:p w:rsidR="00D3704D" w:rsidRPr="00943E94" w:rsidRDefault="00D3704D" w:rsidP="00D3704D">
      <w:pPr>
        <w:rPr>
          <w:rFonts w:ascii="TimesNewRoman" w:hAnsi="TimesNewRoman" w:hint="eastAsia"/>
        </w:rPr>
      </w:pPr>
    </w:p>
    <w:p w:rsidR="00D3704D" w:rsidRPr="00943E94" w:rsidRDefault="00D3704D" w:rsidP="00D3704D">
      <w:pPr>
        <w:rPr>
          <w:rFonts w:ascii="TimesNewRoman" w:hAnsi="TimesNewRoman" w:hint="eastAsia"/>
        </w:rPr>
      </w:pPr>
    </w:p>
    <w:p w:rsidR="00E80235" w:rsidRPr="00943E94" w:rsidRDefault="00E80235">
      <w:pPr>
        <w:rPr>
          <w:rFonts w:ascii="TimesNewRoman" w:hAnsi="TimesNewRoman" w:hint="eastAsia"/>
        </w:rPr>
      </w:pPr>
    </w:p>
    <w:sectPr w:rsidR="00E80235" w:rsidRPr="00943E94" w:rsidSect="007A2EB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C4" w:rsidRDefault="000516C4" w:rsidP="00D3704D">
      <w:r>
        <w:separator/>
      </w:r>
    </w:p>
  </w:endnote>
  <w:endnote w:type="continuationSeparator" w:id="1">
    <w:p w:rsidR="000516C4" w:rsidRDefault="000516C4" w:rsidP="00D37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C4" w:rsidRDefault="000516C4" w:rsidP="00D3704D">
      <w:r>
        <w:separator/>
      </w:r>
    </w:p>
  </w:footnote>
  <w:footnote w:type="continuationSeparator" w:id="1">
    <w:p w:rsidR="000516C4" w:rsidRDefault="000516C4" w:rsidP="00D37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04D"/>
    <w:rsid w:val="00011170"/>
    <w:rsid w:val="0001134B"/>
    <w:rsid w:val="00016D7C"/>
    <w:rsid w:val="00041BD6"/>
    <w:rsid w:val="00045A41"/>
    <w:rsid w:val="000516C4"/>
    <w:rsid w:val="000649C3"/>
    <w:rsid w:val="000846EC"/>
    <w:rsid w:val="0009257F"/>
    <w:rsid w:val="000963FF"/>
    <w:rsid w:val="000A0D04"/>
    <w:rsid w:val="000B65DE"/>
    <w:rsid w:val="000D0E7C"/>
    <w:rsid w:val="00100FB7"/>
    <w:rsid w:val="001254C0"/>
    <w:rsid w:val="00136249"/>
    <w:rsid w:val="00136A3B"/>
    <w:rsid w:val="00140353"/>
    <w:rsid w:val="0014748C"/>
    <w:rsid w:val="00163FC5"/>
    <w:rsid w:val="0018028C"/>
    <w:rsid w:val="001828EB"/>
    <w:rsid w:val="00190C9D"/>
    <w:rsid w:val="001A5A36"/>
    <w:rsid w:val="001C6DC4"/>
    <w:rsid w:val="001D7175"/>
    <w:rsid w:val="001F59A5"/>
    <w:rsid w:val="002137E2"/>
    <w:rsid w:val="00223FA9"/>
    <w:rsid w:val="002264AA"/>
    <w:rsid w:val="0023289C"/>
    <w:rsid w:val="00241ED6"/>
    <w:rsid w:val="00246516"/>
    <w:rsid w:val="00256CBC"/>
    <w:rsid w:val="002633B7"/>
    <w:rsid w:val="00281C82"/>
    <w:rsid w:val="002910E9"/>
    <w:rsid w:val="002932A1"/>
    <w:rsid w:val="002A5EDA"/>
    <w:rsid w:val="002C249C"/>
    <w:rsid w:val="002C6D5F"/>
    <w:rsid w:val="00337761"/>
    <w:rsid w:val="00366D14"/>
    <w:rsid w:val="00370EE6"/>
    <w:rsid w:val="003C23EA"/>
    <w:rsid w:val="003D0B0D"/>
    <w:rsid w:val="003E6CF9"/>
    <w:rsid w:val="003F018A"/>
    <w:rsid w:val="003F25B2"/>
    <w:rsid w:val="00414FA4"/>
    <w:rsid w:val="00416724"/>
    <w:rsid w:val="00421CAC"/>
    <w:rsid w:val="00422D27"/>
    <w:rsid w:val="004401A3"/>
    <w:rsid w:val="004422C1"/>
    <w:rsid w:val="0044659F"/>
    <w:rsid w:val="004511AD"/>
    <w:rsid w:val="0045503A"/>
    <w:rsid w:val="0046364D"/>
    <w:rsid w:val="00474CEB"/>
    <w:rsid w:val="004A0EBC"/>
    <w:rsid w:val="004B1809"/>
    <w:rsid w:val="004C4573"/>
    <w:rsid w:val="004F3751"/>
    <w:rsid w:val="00502D46"/>
    <w:rsid w:val="00511DA7"/>
    <w:rsid w:val="00527737"/>
    <w:rsid w:val="005341CB"/>
    <w:rsid w:val="005B4722"/>
    <w:rsid w:val="005B5582"/>
    <w:rsid w:val="005C1B38"/>
    <w:rsid w:val="005E0983"/>
    <w:rsid w:val="005E11B8"/>
    <w:rsid w:val="00605464"/>
    <w:rsid w:val="00610675"/>
    <w:rsid w:val="00620656"/>
    <w:rsid w:val="00686726"/>
    <w:rsid w:val="00691AD0"/>
    <w:rsid w:val="006D42A9"/>
    <w:rsid w:val="006D59F1"/>
    <w:rsid w:val="006E18AA"/>
    <w:rsid w:val="006F05CE"/>
    <w:rsid w:val="006F3FA6"/>
    <w:rsid w:val="0070033E"/>
    <w:rsid w:val="00727C04"/>
    <w:rsid w:val="007452C5"/>
    <w:rsid w:val="0076447D"/>
    <w:rsid w:val="0079782B"/>
    <w:rsid w:val="007B23C7"/>
    <w:rsid w:val="007B76EC"/>
    <w:rsid w:val="007D1609"/>
    <w:rsid w:val="007E49F6"/>
    <w:rsid w:val="007E77A7"/>
    <w:rsid w:val="008063AC"/>
    <w:rsid w:val="00812B86"/>
    <w:rsid w:val="00820EE8"/>
    <w:rsid w:val="00822259"/>
    <w:rsid w:val="00825D5E"/>
    <w:rsid w:val="00837898"/>
    <w:rsid w:val="00847AFF"/>
    <w:rsid w:val="00871A26"/>
    <w:rsid w:val="00875A22"/>
    <w:rsid w:val="008820C8"/>
    <w:rsid w:val="00883D42"/>
    <w:rsid w:val="008B34AF"/>
    <w:rsid w:val="008B460B"/>
    <w:rsid w:val="008E1538"/>
    <w:rsid w:val="008E2BFB"/>
    <w:rsid w:val="008E76FF"/>
    <w:rsid w:val="009027BF"/>
    <w:rsid w:val="00932A6C"/>
    <w:rsid w:val="00935572"/>
    <w:rsid w:val="00941380"/>
    <w:rsid w:val="00943E94"/>
    <w:rsid w:val="0095658F"/>
    <w:rsid w:val="0095733F"/>
    <w:rsid w:val="009B1061"/>
    <w:rsid w:val="009C0B5A"/>
    <w:rsid w:val="009C50BB"/>
    <w:rsid w:val="009D0B5E"/>
    <w:rsid w:val="009D11B8"/>
    <w:rsid w:val="009D5F85"/>
    <w:rsid w:val="00A11C23"/>
    <w:rsid w:val="00A14371"/>
    <w:rsid w:val="00A30CC8"/>
    <w:rsid w:val="00A32FD9"/>
    <w:rsid w:val="00A7584E"/>
    <w:rsid w:val="00A92AD4"/>
    <w:rsid w:val="00AB3554"/>
    <w:rsid w:val="00AB6086"/>
    <w:rsid w:val="00AD4C75"/>
    <w:rsid w:val="00AE7FF6"/>
    <w:rsid w:val="00B00CDE"/>
    <w:rsid w:val="00B11A28"/>
    <w:rsid w:val="00B246C1"/>
    <w:rsid w:val="00B37BD0"/>
    <w:rsid w:val="00B37DDB"/>
    <w:rsid w:val="00B40F71"/>
    <w:rsid w:val="00B559A3"/>
    <w:rsid w:val="00B85DA8"/>
    <w:rsid w:val="00B90BC3"/>
    <w:rsid w:val="00BB7D88"/>
    <w:rsid w:val="00BC7406"/>
    <w:rsid w:val="00BE0453"/>
    <w:rsid w:val="00C15EB7"/>
    <w:rsid w:val="00C24E17"/>
    <w:rsid w:val="00C25D36"/>
    <w:rsid w:val="00C30B8F"/>
    <w:rsid w:val="00C35433"/>
    <w:rsid w:val="00C64189"/>
    <w:rsid w:val="00C65F35"/>
    <w:rsid w:val="00CA6204"/>
    <w:rsid w:val="00CA774D"/>
    <w:rsid w:val="00CD01CA"/>
    <w:rsid w:val="00CD03F9"/>
    <w:rsid w:val="00CE3A25"/>
    <w:rsid w:val="00CE3BE3"/>
    <w:rsid w:val="00D20834"/>
    <w:rsid w:val="00D21866"/>
    <w:rsid w:val="00D3704D"/>
    <w:rsid w:val="00D51411"/>
    <w:rsid w:val="00D66C56"/>
    <w:rsid w:val="00D934AE"/>
    <w:rsid w:val="00DA2DE9"/>
    <w:rsid w:val="00DB0B87"/>
    <w:rsid w:val="00DC3E35"/>
    <w:rsid w:val="00DE1483"/>
    <w:rsid w:val="00E23AE5"/>
    <w:rsid w:val="00E425C7"/>
    <w:rsid w:val="00E52E41"/>
    <w:rsid w:val="00E542BE"/>
    <w:rsid w:val="00E62CC4"/>
    <w:rsid w:val="00E80235"/>
    <w:rsid w:val="00E83A63"/>
    <w:rsid w:val="00E853B2"/>
    <w:rsid w:val="00EC1D56"/>
    <w:rsid w:val="00EE62D5"/>
    <w:rsid w:val="00EE7D4E"/>
    <w:rsid w:val="00EF3B7D"/>
    <w:rsid w:val="00F019FE"/>
    <w:rsid w:val="00F0509E"/>
    <w:rsid w:val="00F10609"/>
    <w:rsid w:val="00F22C6B"/>
    <w:rsid w:val="00F22E84"/>
    <w:rsid w:val="00F32670"/>
    <w:rsid w:val="00F575CB"/>
    <w:rsid w:val="00F6758C"/>
    <w:rsid w:val="00F67693"/>
    <w:rsid w:val="00F760CA"/>
    <w:rsid w:val="00F8703D"/>
    <w:rsid w:val="00F901D4"/>
    <w:rsid w:val="00F91AFD"/>
    <w:rsid w:val="00FA3B7E"/>
    <w:rsid w:val="00FB20BD"/>
    <w:rsid w:val="00FB739E"/>
    <w:rsid w:val="00FE669E"/>
    <w:rsid w:val="00FF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4138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4138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94138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yuanyuzhu</dc:creator>
  <cp:lastModifiedBy>陈珊</cp:lastModifiedBy>
  <cp:revision>24</cp:revision>
  <dcterms:created xsi:type="dcterms:W3CDTF">2018-01-12T11:17:00Z</dcterms:created>
  <dcterms:modified xsi:type="dcterms:W3CDTF">2018-02-05T00:48:00Z</dcterms:modified>
</cp:coreProperties>
</file>